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B74ABC" w14:paraId="499DE32A" w14:textId="77777777" w:rsidTr="007A782A">
        <w:tc>
          <w:tcPr>
            <w:tcW w:w="288" w:type="dxa"/>
          </w:tcPr>
          <w:p w14:paraId="11B43690" w14:textId="77777777" w:rsidR="007A782A" w:rsidRPr="00B74ABC" w:rsidRDefault="007A782A" w:rsidP="007A782A">
            <w:pPr>
              <w:rPr>
                <w:sz w:val="16"/>
                <w:szCs w:val="16"/>
              </w:rPr>
            </w:pPr>
          </w:p>
        </w:tc>
      </w:tr>
    </w:tbl>
    <w:p w14:paraId="2B69809C" w14:textId="48CCB4B2" w:rsidR="00B63AD6" w:rsidRPr="00B74ABC" w:rsidRDefault="00B63AD6" w:rsidP="00C30410">
      <w:pPr>
        <w:spacing w:after="0"/>
        <w:rPr>
          <w:rFonts w:cs="Open Sans"/>
          <w:color w:val="auto"/>
        </w:rPr>
      </w:pPr>
    </w:p>
    <w:p w14:paraId="5A0C0F6B" w14:textId="22A45258" w:rsidR="00C30410" w:rsidRPr="00B74ABC" w:rsidRDefault="00C30410" w:rsidP="00C30410">
      <w:pPr>
        <w:spacing w:after="0" w:line="240" w:lineRule="auto"/>
        <w:rPr>
          <w:rFonts w:ascii="Merriweather" w:eastAsia="Times New Roman" w:hAnsi="Merriweather" w:cs="Open Sans"/>
          <w:color w:val="auto"/>
          <w:szCs w:val="22"/>
        </w:rPr>
      </w:pPr>
      <w:r w:rsidRPr="00B74ABC">
        <w:rPr>
          <w:rFonts w:ascii="Merriweather" w:eastAsia="Times New Roman" w:hAnsi="Merriweather" w:cs="Open Sans"/>
          <w:b/>
          <w:color w:val="005595"/>
          <w:sz w:val="26"/>
          <w:szCs w:val="26"/>
        </w:rPr>
        <w:t>Job Title</w:t>
      </w:r>
      <w:r w:rsidRPr="00B74ABC">
        <w:rPr>
          <w:rFonts w:ascii="Merriweather" w:eastAsia="Times New Roman" w:hAnsi="Merriweather" w:cs="Open Sans"/>
          <w:color w:val="005595"/>
          <w:sz w:val="26"/>
          <w:szCs w:val="26"/>
        </w:rPr>
        <w:t>:</w:t>
      </w:r>
      <w:r w:rsidRPr="00B74ABC">
        <w:rPr>
          <w:rFonts w:ascii="Merriweather" w:eastAsia="Times New Roman" w:hAnsi="Merriweather" w:cs="Open Sans"/>
          <w:color w:val="005595"/>
          <w:szCs w:val="22"/>
        </w:rPr>
        <w:tab/>
      </w:r>
      <w:r w:rsidRPr="00B74ABC">
        <w:rPr>
          <w:rFonts w:ascii="Merriweather" w:eastAsia="Times New Roman" w:hAnsi="Merriweather" w:cs="Open Sans"/>
          <w:color w:val="auto"/>
          <w:szCs w:val="22"/>
        </w:rPr>
        <w:tab/>
        <w:t xml:space="preserve">     </w:t>
      </w:r>
      <w:r w:rsidRPr="00B74ABC">
        <w:rPr>
          <w:rFonts w:eastAsia="Times New Roman" w:cs="Open Sans"/>
          <w:color w:val="auto"/>
          <w:szCs w:val="22"/>
        </w:rPr>
        <w:t xml:space="preserve"> </w:t>
      </w:r>
      <w:r w:rsidR="009D3B18" w:rsidRPr="00B74ABC">
        <w:rPr>
          <w:rFonts w:eastAsia="Times New Roman" w:cs="Open Sans"/>
          <w:color w:val="auto"/>
          <w:szCs w:val="22"/>
        </w:rPr>
        <w:t>Resilience Manager</w:t>
      </w:r>
    </w:p>
    <w:p w14:paraId="1BB87089" w14:textId="186F32C8" w:rsidR="00C30410" w:rsidRPr="00B74ABC" w:rsidRDefault="00C30410" w:rsidP="00C30410">
      <w:pPr>
        <w:spacing w:after="0" w:line="240" w:lineRule="auto"/>
        <w:rPr>
          <w:rFonts w:ascii="Merriweather" w:eastAsia="Times New Roman" w:hAnsi="Merriweather" w:cs="Open Sans"/>
          <w:color w:val="auto"/>
          <w:szCs w:val="22"/>
        </w:rPr>
      </w:pPr>
      <w:r w:rsidRPr="00B74ABC">
        <w:rPr>
          <w:rFonts w:ascii="Merriweather" w:eastAsia="Times New Roman" w:hAnsi="Merriweather" w:cs="Open Sans"/>
          <w:b/>
          <w:color w:val="005595"/>
          <w:sz w:val="26"/>
          <w:szCs w:val="26"/>
        </w:rPr>
        <w:t>Department:</w:t>
      </w:r>
      <w:r w:rsidRPr="00B74ABC">
        <w:rPr>
          <w:rFonts w:ascii="Merriweather" w:eastAsia="Times New Roman" w:hAnsi="Merriweather" w:cs="Open Sans"/>
          <w:color w:val="00B0F0"/>
          <w:sz w:val="26"/>
          <w:szCs w:val="26"/>
        </w:rPr>
        <w:tab/>
        <w:t xml:space="preserve">     </w:t>
      </w:r>
      <w:r w:rsidR="009D3B18" w:rsidRPr="00B74ABC">
        <w:rPr>
          <w:rFonts w:eastAsia="Times New Roman" w:cs="Open Sans"/>
          <w:color w:val="auto"/>
          <w:szCs w:val="22"/>
        </w:rPr>
        <w:t xml:space="preserve">Resilience </w:t>
      </w:r>
    </w:p>
    <w:p w14:paraId="0DC20A7E" w14:textId="3FD07FBC" w:rsidR="00C30410" w:rsidRPr="00B74ABC" w:rsidRDefault="00C30410" w:rsidP="00C30410">
      <w:pPr>
        <w:spacing w:after="0" w:line="240" w:lineRule="auto"/>
        <w:rPr>
          <w:rFonts w:ascii="Merriweather" w:eastAsia="Times New Roman" w:hAnsi="Merriweather" w:cs="Open Sans"/>
          <w:color w:val="auto"/>
          <w:szCs w:val="22"/>
        </w:rPr>
      </w:pPr>
      <w:r w:rsidRPr="00B74ABC">
        <w:rPr>
          <w:rFonts w:ascii="Merriweather" w:eastAsia="Times New Roman" w:hAnsi="Merriweather" w:cs="Open Sans"/>
          <w:b/>
          <w:color w:val="005595"/>
          <w:sz w:val="26"/>
          <w:szCs w:val="26"/>
        </w:rPr>
        <w:t xml:space="preserve">Reports to:              </w:t>
      </w:r>
      <w:r w:rsidRPr="00B74ABC">
        <w:rPr>
          <w:rFonts w:ascii="Merriweather" w:eastAsia="Times New Roman" w:hAnsi="Merriweather" w:cs="Open Sans"/>
          <w:b/>
          <w:color w:val="005595"/>
          <w:sz w:val="18"/>
          <w:szCs w:val="26"/>
        </w:rPr>
        <w:t xml:space="preserve"> </w:t>
      </w:r>
      <w:r w:rsidR="009D3B18" w:rsidRPr="00B74ABC">
        <w:rPr>
          <w:rFonts w:eastAsia="Times New Roman" w:cs="Open Sans"/>
          <w:color w:val="auto"/>
          <w:szCs w:val="22"/>
        </w:rPr>
        <w:t xml:space="preserve">Head of Resilience </w:t>
      </w:r>
    </w:p>
    <w:p w14:paraId="68194BA1" w14:textId="01C9FDBF" w:rsidR="00C30410" w:rsidRPr="00B74ABC" w:rsidRDefault="00C30410" w:rsidP="00C30410">
      <w:pPr>
        <w:spacing w:after="0" w:line="240" w:lineRule="auto"/>
        <w:ind w:left="2160" w:hanging="2160"/>
        <w:rPr>
          <w:rFonts w:ascii="Merriweather" w:eastAsia="Times New Roman" w:hAnsi="Merriweather" w:cs="Open Sans"/>
          <w:color w:val="auto"/>
          <w:szCs w:val="26"/>
        </w:rPr>
      </w:pPr>
      <w:r w:rsidRPr="00B74ABC">
        <w:rPr>
          <w:rFonts w:ascii="Merriweather" w:eastAsia="Times New Roman" w:hAnsi="Merriweather" w:cs="Open Sans"/>
          <w:b/>
          <w:color w:val="005595"/>
          <w:sz w:val="26"/>
          <w:szCs w:val="26"/>
        </w:rPr>
        <w:t xml:space="preserve">Direct Reports:      </w:t>
      </w:r>
      <w:r w:rsidRPr="00B74ABC">
        <w:rPr>
          <w:rFonts w:eastAsia="Times New Roman" w:cs="Open Sans"/>
          <w:b/>
          <w:color w:val="005595"/>
          <w:sz w:val="26"/>
          <w:szCs w:val="26"/>
        </w:rPr>
        <w:t xml:space="preserve"> </w:t>
      </w:r>
      <w:r w:rsidR="009D3B18" w:rsidRPr="00B74ABC">
        <w:rPr>
          <w:rFonts w:eastAsia="Times New Roman" w:cs="Open Sans"/>
          <w:color w:val="auto"/>
          <w:szCs w:val="26"/>
        </w:rPr>
        <w:t>None</w:t>
      </w:r>
    </w:p>
    <w:p w14:paraId="2D7740BF" w14:textId="2E623A85" w:rsidR="00C30410" w:rsidRPr="00B74ABC" w:rsidRDefault="00C30410" w:rsidP="00C30410">
      <w:pPr>
        <w:spacing w:after="0" w:line="240" w:lineRule="auto"/>
        <w:ind w:left="2160" w:hanging="2160"/>
        <w:rPr>
          <w:rFonts w:eastAsia="Times New Roman" w:cs="Open Sans"/>
          <w:color w:val="auto"/>
          <w:szCs w:val="22"/>
        </w:rPr>
      </w:pPr>
      <w:r w:rsidRPr="00B74ABC">
        <w:rPr>
          <w:rFonts w:ascii="Merriweather" w:eastAsia="Times New Roman" w:hAnsi="Merriweather" w:cs="Open Sans"/>
          <w:b/>
          <w:color w:val="005595"/>
          <w:sz w:val="26"/>
          <w:szCs w:val="26"/>
        </w:rPr>
        <w:t>Location:</w:t>
      </w:r>
      <w:r w:rsidRPr="00B74ABC">
        <w:rPr>
          <w:rFonts w:ascii="Merriweather" w:eastAsia="Times New Roman" w:hAnsi="Merriweather" w:cs="Open Sans"/>
          <w:b/>
          <w:color w:val="auto"/>
          <w:szCs w:val="22"/>
        </w:rPr>
        <w:t xml:space="preserve">                     </w:t>
      </w:r>
      <w:r w:rsidR="009D3B18" w:rsidRPr="00B74ABC">
        <w:rPr>
          <w:rFonts w:eastAsia="Times New Roman" w:cs="Open Sans"/>
          <w:color w:val="auto"/>
          <w:szCs w:val="22"/>
        </w:rPr>
        <w:t xml:space="preserve">Activity-based onsite (typically 2-3 days a week) </w:t>
      </w:r>
    </w:p>
    <w:p w14:paraId="1CAA8701" w14:textId="4E811394" w:rsidR="00C30410" w:rsidRPr="00B74ABC" w:rsidRDefault="00C30410" w:rsidP="00C30410">
      <w:pPr>
        <w:spacing w:after="0" w:line="240" w:lineRule="auto"/>
        <w:ind w:left="2160" w:hanging="2160"/>
        <w:rPr>
          <w:rFonts w:ascii="Merriweather" w:eastAsia="Times New Roman" w:hAnsi="Merriweather" w:cs="Open Sans"/>
          <w:b/>
          <w:color w:val="005595"/>
          <w:sz w:val="26"/>
          <w:szCs w:val="26"/>
        </w:rPr>
      </w:pPr>
      <w:r w:rsidRPr="00B74ABC">
        <w:rPr>
          <w:rFonts w:ascii="Merriweather" w:eastAsia="Times New Roman" w:hAnsi="Merriweather" w:cs="Open Sans"/>
          <w:b/>
          <w:color w:val="005595"/>
          <w:sz w:val="26"/>
          <w:szCs w:val="26"/>
        </w:rPr>
        <w:t>Contract Type:</w:t>
      </w:r>
      <w:r w:rsidRPr="00B74ABC">
        <w:rPr>
          <w:rFonts w:ascii="Merriweather" w:eastAsia="Times New Roman" w:hAnsi="Merriweather" w:cs="Open Sans"/>
          <w:b/>
          <w:color w:val="auto"/>
          <w:szCs w:val="22"/>
        </w:rPr>
        <w:t xml:space="preserve">         </w:t>
      </w:r>
      <w:r w:rsidR="009D3B18" w:rsidRPr="00B74ABC">
        <w:rPr>
          <w:rFonts w:eastAsia="Times New Roman" w:cs="Open Sans"/>
          <w:color w:val="auto"/>
          <w:szCs w:val="22"/>
        </w:rPr>
        <w:t xml:space="preserve">12-month fixed term </w:t>
      </w:r>
    </w:p>
    <w:p w14:paraId="5509FE50" w14:textId="38D3C52E" w:rsidR="00C30410" w:rsidRPr="00B74ABC" w:rsidRDefault="00C30410" w:rsidP="00C30410">
      <w:pPr>
        <w:spacing w:after="0" w:line="240" w:lineRule="auto"/>
        <w:ind w:left="2160" w:hanging="2160"/>
        <w:rPr>
          <w:rFonts w:ascii="Merriweather" w:eastAsia="Times New Roman" w:hAnsi="Merriweather" w:cs="Open Sans"/>
          <w:color w:val="auto"/>
          <w:szCs w:val="22"/>
        </w:rPr>
      </w:pPr>
      <w:r w:rsidRPr="00B74ABC">
        <w:rPr>
          <w:rFonts w:ascii="Merriweather" w:eastAsia="Times New Roman" w:hAnsi="Merriweather" w:cs="Open Sans"/>
          <w:b/>
          <w:color w:val="005595"/>
          <w:sz w:val="26"/>
          <w:szCs w:val="26"/>
        </w:rPr>
        <w:t>Grade:</w:t>
      </w:r>
      <w:r w:rsidRPr="00B74ABC">
        <w:rPr>
          <w:rFonts w:ascii="Merriweather" w:eastAsia="Times New Roman" w:hAnsi="Merriweather" w:cs="Open Sans"/>
          <w:color w:val="00B0F0"/>
          <w:szCs w:val="22"/>
        </w:rPr>
        <w:tab/>
      </w:r>
      <w:r w:rsidRPr="00B74ABC">
        <w:rPr>
          <w:rFonts w:eastAsia="Times New Roman" w:cs="Open Sans"/>
          <w:color w:val="00B0F0"/>
          <w:szCs w:val="22"/>
        </w:rPr>
        <w:t xml:space="preserve">      </w:t>
      </w:r>
      <w:r w:rsidR="009D3B18" w:rsidRPr="00B74ABC">
        <w:rPr>
          <w:rFonts w:eastAsia="Times New Roman" w:cs="Open Sans"/>
          <w:color w:val="auto"/>
          <w:szCs w:val="22"/>
        </w:rPr>
        <w:t>5</w:t>
      </w:r>
    </w:p>
    <w:p w14:paraId="7B6E31CE" w14:textId="77777777" w:rsidR="00C30410" w:rsidRPr="00B74ABC" w:rsidRDefault="00C30410" w:rsidP="00C30410">
      <w:pPr>
        <w:spacing w:after="0" w:line="240" w:lineRule="auto"/>
        <w:ind w:left="2160" w:hanging="2160"/>
        <w:rPr>
          <w:rFonts w:ascii="Merriweather" w:eastAsia="Times New Roman" w:hAnsi="Merriweather" w:cs="Open Sans"/>
          <w:color w:val="auto"/>
          <w:szCs w:val="22"/>
        </w:rPr>
      </w:pPr>
    </w:p>
    <w:p w14:paraId="4D799782" w14:textId="77777777" w:rsidR="00C30410" w:rsidRPr="00B74ABC"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B74ABC" w:rsidRDefault="00C30410" w:rsidP="00C30410">
      <w:pPr>
        <w:spacing w:after="0" w:line="240" w:lineRule="auto"/>
        <w:rPr>
          <w:rFonts w:eastAsia="Times New Roman" w:cs="Open Sans"/>
          <w:b/>
          <w:color w:val="595959"/>
          <w:sz w:val="32"/>
          <w:szCs w:val="32"/>
        </w:rPr>
      </w:pPr>
      <w:r w:rsidRPr="00B74ABC">
        <w:rPr>
          <w:rFonts w:eastAsia="Times New Roman" w:cs="Open Sans"/>
          <w:b/>
          <w:color w:val="595959"/>
          <w:sz w:val="32"/>
          <w:szCs w:val="32"/>
        </w:rPr>
        <w:t>Main purpose of the job</w:t>
      </w:r>
    </w:p>
    <w:p w14:paraId="1AEBA64F" w14:textId="77777777" w:rsidR="00D86C2C" w:rsidRPr="00B74ABC" w:rsidRDefault="00D86C2C" w:rsidP="00C30410">
      <w:pPr>
        <w:spacing w:after="0" w:line="240" w:lineRule="auto"/>
        <w:rPr>
          <w:rFonts w:eastAsia="Times New Roman" w:cs="Open Sans"/>
          <w:b/>
          <w:color w:val="595959"/>
          <w:sz w:val="32"/>
          <w:szCs w:val="32"/>
        </w:rPr>
      </w:pPr>
    </w:p>
    <w:p w14:paraId="047B8C8F" w14:textId="34107150" w:rsidR="00C30410" w:rsidRPr="00B74ABC" w:rsidRDefault="00D86C2C" w:rsidP="00C30410">
      <w:pPr>
        <w:spacing w:after="0" w:line="240" w:lineRule="auto"/>
        <w:rPr>
          <w:rFonts w:eastAsia="Times New Roman" w:cs="Open Sans"/>
          <w:bCs/>
          <w:color w:val="auto"/>
          <w:szCs w:val="22"/>
        </w:rPr>
      </w:pPr>
      <w:r w:rsidRPr="00B74ABC">
        <w:rPr>
          <w:rFonts w:eastAsia="Times New Roman" w:cs="Open Sans"/>
          <w:bCs/>
          <w:color w:val="auto"/>
          <w:szCs w:val="22"/>
        </w:rPr>
        <w:t>To proactively strengthen, test, and enhance the Mining Remediation Authority’s business continuity and emergency response arrangements, ensuring we are fully prepared to anticipate, manage, and respond effectively to incidents as they arise. This includes leading continuous improvement, providing assurance to our customers, stakeholders, executive and board, and ensuring robust, well</w:t>
      </w:r>
      <w:r w:rsidRPr="00B74ABC">
        <w:rPr>
          <w:rFonts w:ascii="Cambria Math" w:eastAsia="Times New Roman" w:hAnsi="Cambria Math" w:cs="Cambria Math"/>
          <w:bCs/>
          <w:color w:val="auto"/>
          <w:szCs w:val="22"/>
        </w:rPr>
        <w:t>‑</w:t>
      </w:r>
      <w:r w:rsidRPr="00B74ABC">
        <w:rPr>
          <w:rFonts w:eastAsia="Times New Roman" w:cs="Open Sans"/>
          <w:bCs/>
          <w:color w:val="auto"/>
          <w:szCs w:val="22"/>
        </w:rPr>
        <w:t>practised capabilities for response, recovery, and organisational learning.</w:t>
      </w:r>
    </w:p>
    <w:p w14:paraId="364795F6" w14:textId="77777777" w:rsidR="00C30410" w:rsidRPr="00B74ABC" w:rsidRDefault="00C30410" w:rsidP="00C30410">
      <w:pPr>
        <w:spacing w:after="0" w:line="240" w:lineRule="auto"/>
        <w:rPr>
          <w:rFonts w:eastAsia="Times New Roman" w:cs="Open Sans"/>
          <w:bCs/>
          <w:color w:val="auto"/>
          <w:szCs w:val="22"/>
        </w:rPr>
      </w:pPr>
    </w:p>
    <w:p w14:paraId="7350CD44" w14:textId="77777777" w:rsidR="00C30410" w:rsidRPr="00B74ABC" w:rsidRDefault="00C30410" w:rsidP="00C30410">
      <w:pPr>
        <w:spacing w:after="0" w:line="240" w:lineRule="auto"/>
        <w:jc w:val="both"/>
        <w:rPr>
          <w:rFonts w:eastAsia="Times New Roman" w:cs="Open Sans"/>
          <w:b/>
          <w:color w:val="595959"/>
          <w:sz w:val="32"/>
          <w:szCs w:val="32"/>
        </w:rPr>
      </w:pPr>
      <w:r w:rsidRPr="00B74ABC">
        <w:rPr>
          <w:rFonts w:eastAsia="Times New Roman" w:cs="Open Sans"/>
          <w:b/>
          <w:color w:val="595959"/>
          <w:sz w:val="32"/>
          <w:szCs w:val="32"/>
        </w:rPr>
        <w:t>Responsibilities</w:t>
      </w:r>
    </w:p>
    <w:p w14:paraId="7DDF8DCE" w14:textId="77777777" w:rsidR="00C30410" w:rsidRPr="00B74ABC"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B74ABC" w:rsidRDefault="00C30410" w:rsidP="00C30410">
      <w:pPr>
        <w:spacing w:after="0" w:line="240" w:lineRule="auto"/>
        <w:rPr>
          <w:rFonts w:ascii="Merriweather" w:eastAsia="Times New Roman" w:hAnsi="Merriweather" w:cs="Open Sans"/>
          <w:b/>
          <w:color w:val="005595"/>
          <w:sz w:val="26"/>
          <w:szCs w:val="26"/>
        </w:rPr>
      </w:pPr>
      <w:r w:rsidRPr="00B74ABC">
        <w:rPr>
          <w:rFonts w:ascii="Merriweather" w:eastAsia="Times New Roman" w:hAnsi="Merriweather" w:cs="Open Sans"/>
          <w:b/>
          <w:color w:val="005595"/>
          <w:sz w:val="26"/>
          <w:szCs w:val="26"/>
        </w:rPr>
        <w:t xml:space="preserve">Specific </w:t>
      </w:r>
    </w:p>
    <w:p w14:paraId="1DBF5BC8" w14:textId="4C505C23" w:rsidR="00D86C2C" w:rsidRPr="00B74ABC" w:rsidRDefault="00D86C2C" w:rsidP="00D86C2C">
      <w:pPr>
        <w:pStyle w:val="ListParagraph"/>
        <w:numPr>
          <w:ilvl w:val="0"/>
          <w:numId w:val="11"/>
        </w:numPr>
        <w:spacing w:after="160" w:line="360" w:lineRule="auto"/>
        <w:contextualSpacing/>
        <w:rPr>
          <w:rFonts w:cs="Open Sans"/>
          <w:color w:val="auto"/>
          <w:szCs w:val="22"/>
        </w:rPr>
      </w:pPr>
      <w:r w:rsidRPr="00B74ABC">
        <w:rPr>
          <w:rFonts w:cs="Open Sans"/>
          <w:szCs w:val="22"/>
        </w:rPr>
        <w:t>Ensuring the organisation</w:t>
      </w:r>
      <w:r w:rsidR="00970F43">
        <w:rPr>
          <w:rFonts w:cs="Open Sans"/>
          <w:szCs w:val="22"/>
        </w:rPr>
        <w:t>’</w:t>
      </w:r>
      <w:r w:rsidRPr="00B74ABC">
        <w:rPr>
          <w:rFonts w:cs="Open Sans"/>
          <w:szCs w:val="22"/>
        </w:rPr>
        <w:t xml:space="preserve">s contingency plans and business continuity arrangements are fit for purpose and proactively looking for ways to improve them. </w:t>
      </w:r>
    </w:p>
    <w:p w14:paraId="5130D402"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 xml:space="preserve">To work with colleagues across the authority to build confidence and depth in our resilience capabilities </w:t>
      </w:r>
    </w:p>
    <w:p w14:paraId="59422E16"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 xml:space="preserve">Work collaboratively with other departments to support the development and management of our business continuity plans </w:t>
      </w:r>
    </w:p>
    <w:p w14:paraId="5AEEE845"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Plan and deliver training to internal and external delegates using a range of delivery methods</w:t>
      </w:r>
    </w:p>
    <w:p w14:paraId="1A517696" w14:textId="6DAED76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 xml:space="preserve">To mentor operational </w:t>
      </w:r>
      <w:r w:rsidR="00970F43">
        <w:rPr>
          <w:rFonts w:cs="Open Sans"/>
          <w:szCs w:val="22"/>
        </w:rPr>
        <w:t>colleagues</w:t>
      </w:r>
      <w:r w:rsidRPr="00B74ABC">
        <w:rPr>
          <w:rFonts w:cs="Open Sans"/>
          <w:szCs w:val="22"/>
        </w:rPr>
        <w:t xml:space="preserve"> in incident response and recovery in a multi-agency environment</w:t>
      </w:r>
    </w:p>
    <w:p w14:paraId="423F11F6"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lastRenderedPageBreak/>
        <w:t>Continually horizon scan to identify opportunities and areas the authority can develop</w:t>
      </w:r>
    </w:p>
    <w:p w14:paraId="08A0F06C" w14:textId="504A95A3"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 xml:space="preserve">To provide assistance and guidance to </w:t>
      </w:r>
      <w:r w:rsidR="00970F43">
        <w:rPr>
          <w:rFonts w:cs="Open Sans"/>
          <w:szCs w:val="22"/>
        </w:rPr>
        <w:t>colleagues</w:t>
      </w:r>
      <w:r w:rsidRPr="00B74ABC">
        <w:rPr>
          <w:rFonts w:cs="Open Sans"/>
          <w:szCs w:val="22"/>
        </w:rPr>
        <w:t xml:space="preserve"> at all levels during the response and recovery of incidents</w:t>
      </w:r>
    </w:p>
    <w:p w14:paraId="213421D9" w14:textId="61C9739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Represent the Mining Remediation Authority at multi-agency meetings in an inclusive, trusted and progressive way</w:t>
      </w:r>
    </w:p>
    <w:p w14:paraId="680347AA"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 xml:space="preserve">Build strong relationships with internal and external stakeholders using appropriate communication methods. </w:t>
      </w:r>
    </w:p>
    <w:p w14:paraId="60E129AF"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To facilitate structured debriefs of incidents and exercises to ensure lessons are captured and formally recorded</w:t>
      </w:r>
    </w:p>
    <w:p w14:paraId="3909121D" w14:textId="77777777" w:rsidR="00D86C2C" w:rsidRPr="00B74ABC" w:rsidRDefault="00D86C2C" w:rsidP="00D86C2C">
      <w:pPr>
        <w:pStyle w:val="ListParagraph"/>
        <w:numPr>
          <w:ilvl w:val="0"/>
          <w:numId w:val="11"/>
        </w:numPr>
        <w:spacing w:after="0" w:line="360" w:lineRule="auto"/>
        <w:contextualSpacing/>
        <w:rPr>
          <w:rFonts w:cs="Open Sans"/>
          <w:szCs w:val="22"/>
        </w:rPr>
      </w:pPr>
      <w:r w:rsidRPr="00B74ABC">
        <w:rPr>
          <w:rFonts w:cs="Open Sans"/>
          <w:szCs w:val="22"/>
        </w:rPr>
        <w:t>Share lessons identified with internal and external stakeholders in the most appropriate format</w:t>
      </w:r>
    </w:p>
    <w:p w14:paraId="117A7D5A" w14:textId="77777777" w:rsidR="00C30410" w:rsidRPr="00B74ABC" w:rsidRDefault="00C30410" w:rsidP="00C30410">
      <w:pPr>
        <w:spacing w:after="0" w:line="240" w:lineRule="auto"/>
        <w:rPr>
          <w:rFonts w:ascii="Merriweather" w:eastAsia="Times New Roman" w:hAnsi="Merriweather" w:cs="Open Sans"/>
          <w:color w:val="auto"/>
          <w:szCs w:val="22"/>
        </w:rPr>
      </w:pPr>
    </w:p>
    <w:p w14:paraId="2327AA42" w14:textId="77777777" w:rsidR="00C30410" w:rsidRPr="00B74ABC" w:rsidRDefault="00C30410" w:rsidP="00C30410">
      <w:pPr>
        <w:spacing w:after="0" w:line="240" w:lineRule="auto"/>
        <w:rPr>
          <w:rFonts w:ascii="Merriweather" w:eastAsia="Times New Roman" w:hAnsi="Merriweather" w:cs="Open Sans"/>
          <w:b/>
          <w:color w:val="005595"/>
          <w:sz w:val="26"/>
          <w:szCs w:val="26"/>
        </w:rPr>
      </w:pPr>
      <w:r w:rsidRPr="00B74ABC">
        <w:rPr>
          <w:rFonts w:ascii="Merriweather" w:eastAsia="Times New Roman" w:hAnsi="Merriweather" w:cs="Open Sans"/>
          <w:b/>
          <w:color w:val="005595"/>
          <w:sz w:val="26"/>
          <w:szCs w:val="26"/>
        </w:rPr>
        <w:t xml:space="preserve">General </w:t>
      </w:r>
    </w:p>
    <w:p w14:paraId="09563BD3" w14:textId="77777777" w:rsidR="006E74A0" w:rsidRPr="00B74ABC" w:rsidRDefault="006E74A0" w:rsidP="006E74A0">
      <w:pPr>
        <w:numPr>
          <w:ilvl w:val="0"/>
          <w:numId w:val="7"/>
        </w:numPr>
        <w:spacing w:after="0" w:line="240" w:lineRule="auto"/>
        <w:ind w:left="426" w:hanging="426"/>
        <w:rPr>
          <w:rFonts w:eastAsia="Times New Roman" w:cs="Open Sans"/>
          <w:color w:val="auto"/>
          <w:szCs w:val="22"/>
        </w:rPr>
      </w:pPr>
      <w:r w:rsidRPr="00B74ABC">
        <w:rPr>
          <w:rFonts w:eastAsia="Times New Roman" w:cs="Open Sans"/>
          <w:color w:val="auto"/>
          <w:szCs w:val="22"/>
        </w:rPr>
        <w:t>Act in line with the behaviours and values of the organisation</w:t>
      </w:r>
    </w:p>
    <w:p w14:paraId="4C41C52C" w14:textId="77777777" w:rsidR="006E74A0" w:rsidRPr="00B74ABC" w:rsidRDefault="006E74A0" w:rsidP="006E74A0">
      <w:pPr>
        <w:spacing w:after="0" w:line="240" w:lineRule="auto"/>
        <w:rPr>
          <w:rFonts w:eastAsia="Times New Roman" w:cs="Open Sans"/>
          <w:color w:val="auto"/>
          <w:szCs w:val="22"/>
        </w:rPr>
      </w:pPr>
    </w:p>
    <w:p w14:paraId="123619AE" w14:textId="77777777" w:rsidR="006E74A0" w:rsidRPr="00B74ABC" w:rsidRDefault="006E74A0" w:rsidP="006E74A0">
      <w:pPr>
        <w:numPr>
          <w:ilvl w:val="0"/>
          <w:numId w:val="9"/>
        </w:numPr>
        <w:spacing w:after="0" w:line="240" w:lineRule="auto"/>
        <w:ind w:left="426" w:hanging="426"/>
        <w:rPr>
          <w:rFonts w:eastAsia="Times New Roman" w:cs="Open Sans"/>
          <w:color w:val="auto"/>
          <w:szCs w:val="22"/>
        </w:rPr>
      </w:pPr>
      <w:r w:rsidRPr="00B74ABC">
        <w:rPr>
          <w:rFonts w:eastAsia="Times New Roman" w:cs="Open Sans"/>
          <w:color w:val="auto"/>
          <w:szCs w:val="22"/>
        </w:rPr>
        <w:t xml:space="preserve">Manage your own performance to be accountable for meeting individual, team and corporate objectives </w:t>
      </w:r>
    </w:p>
    <w:p w14:paraId="4083E2E1" w14:textId="77777777" w:rsidR="006E74A0" w:rsidRPr="00B74ABC" w:rsidRDefault="006E74A0" w:rsidP="006E74A0">
      <w:pPr>
        <w:spacing w:after="0" w:line="240" w:lineRule="auto"/>
        <w:rPr>
          <w:rFonts w:eastAsia="Times New Roman" w:cs="Open Sans"/>
          <w:color w:val="auto"/>
          <w:szCs w:val="22"/>
        </w:rPr>
      </w:pPr>
    </w:p>
    <w:p w14:paraId="1EA3B432"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Act in accordance with the Scheme of Delegation and ensure propriety and regularity in the handling of public funds</w:t>
      </w:r>
    </w:p>
    <w:p w14:paraId="0944AF92" w14:textId="77777777" w:rsidR="006E74A0" w:rsidRPr="00B74ABC" w:rsidRDefault="006E74A0" w:rsidP="006E74A0">
      <w:pPr>
        <w:spacing w:after="0" w:line="240" w:lineRule="auto"/>
        <w:ind w:left="426"/>
        <w:rPr>
          <w:rFonts w:eastAsia="Times New Roman" w:cs="Open Sans"/>
          <w:color w:val="auto"/>
          <w:szCs w:val="22"/>
        </w:rPr>
      </w:pPr>
    </w:p>
    <w:p w14:paraId="2B101981" w14:textId="08BC172F"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 xml:space="preserve">Actively demonstrate the </w:t>
      </w:r>
      <w:r w:rsidR="00204BFC" w:rsidRPr="00B74ABC">
        <w:rPr>
          <w:rFonts w:eastAsia="Times New Roman" w:cs="Open Sans"/>
          <w:color w:val="auto"/>
          <w:szCs w:val="22"/>
        </w:rPr>
        <w:t>Mining Remediation</w:t>
      </w:r>
      <w:r w:rsidRPr="00B74ABC">
        <w:rPr>
          <w:rFonts w:eastAsia="Times New Roman" w:cs="Open Sans"/>
          <w:color w:val="auto"/>
          <w:szCs w:val="22"/>
        </w:rPr>
        <w:t xml:space="preserve"> Authority’s customer service standards expected of your role</w:t>
      </w:r>
    </w:p>
    <w:p w14:paraId="23AF3CD0" w14:textId="77777777" w:rsidR="006E74A0" w:rsidRPr="00B74ABC" w:rsidRDefault="006E74A0" w:rsidP="006E74A0">
      <w:pPr>
        <w:spacing w:after="0" w:line="240" w:lineRule="auto"/>
        <w:rPr>
          <w:rFonts w:eastAsia="Times New Roman" w:cs="Open Sans"/>
          <w:color w:val="auto"/>
          <w:szCs w:val="22"/>
        </w:rPr>
      </w:pPr>
    </w:p>
    <w:p w14:paraId="14BCADF7"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Follow and contribute to the improvement of operational and team processes and procedures</w:t>
      </w:r>
    </w:p>
    <w:p w14:paraId="256A8B43" w14:textId="77777777" w:rsidR="006E74A0" w:rsidRPr="00B74ABC" w:rsidRDefault="006E74A0" w:rsidP="006E74A0">
      <w:pPr>
        <w:spacing w:after="0" w:line="240" w:lineRule="auto"/>
        <w:ind w:left="426" w:hanging="426"/>
        <w:rPr>
          <w:rFonts w:eastAsia="Times New Roman" w:cs="Open Sans"/>
          <w:color w:val="auto"/>
          <w:szCs w:val="22"/>
        </w:rPr>
      </w:pPr>
    </w:p>
    <w:p w14:paraId="036D5B77" w14:textId="3F2006D6" w:rsidR="006E74A0" w:rsidRPr="00B74ABC" w:rsidRDefault="008007DC"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Assist</w:t>
      </w:r>
      <w:r w:rsidR="006E74A0" w:rsidRPr="00B74ABC">
        <w:rPr>
          <w:rFonts w:eastAsia="Times New Roman" w:cs="Open Sans"/>
          <w:color w:val="auto"/>
          <w:szCs w:val="22"/>
        </w:rPr>
        <w:t xml:space="preserve"> with the preparation and delivery of the team’s objectives, budgets and financial records</w:t>
      </w:r>
    </w:p>
    <w:p w14:paraId="155A9AB5" w14:textId="77777777" w:rsidR="006E74A0" w:rsidRPr="00B74ABC" w:rsidRDefault="006E74A0" w:rsidP="006E74A0">
      <w:pPr>
        <w:spacing w:after="0" w:line="240" w:lineRule="auto"/>
        <w:ind w:left="426" w:hanging="426"/>
        <w:rPr>
          <w:rFonts w:eastAsia="Times New Roman" w:cs="Open Sans"/>
          <w:color w:val="auto"/>
          <w:szCs w:val="22"/>
        </w:rPr>
      </w:pPr>
    </w:p>
    <w:p w14:paraId="4FEDC741"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Identify opportunities and implement change leading to team development, system improvement and ensuring good value for money</w:t>
      </w:r>
    </w:p>
    <w:p w14:paraId="7001D69C" w14:textId="77777777" w:rsidR="006E74A0" w:rsidRPr="00B74ABC" w:rsidRDefault="006E74A0" w:rsidP="006E74A0">
      <w:pPr>
        <w:spacing w:after="0" w:line="240" w:lineRule="auto"/>
        <w:ind w:left="426" w:hanging="426"/>
        <w:rPr>
          <w:rFonts w:eastAsia="Times New Roman" w:cs="Open Sans"/>
          <w:color w:val="auto"/>
          <w:szCs w:val="22"/>
        </w:rPr>
      </w:pPr>
    </w:p>
    <w:p w14:paraId="11932240"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Maintain and develop positive stakeholder relationships in order to promote the Authority and assist it to meet its objectives</w:t>
      </w:r>
    </w:p>
    <w:p w14:paraId="5495A33A" w14:textId="77777777" w:rsidR="006E74A0" w:rsidRPr="00B74ABC" w:rsidRDefault="006E74A0" w:rsidP="006E74A0">
      <w:pPr>
        <w:spacing w:after="0" w:line="240" w:lineRule="auto"/>
        <w:ind w:left="426" w:hanging="426"/>
        <w:rPr>
          <w:rFonts w:eastAsia="Times New Roman" w:cs="Open Sans"/>
          <w:color w:val="auto"/>
          <w:szCs w:val="22"/>
        </w:rPr>
      </w:pPr>
    </w:p>
    <w:p w14:paraId="0BA3C7D5"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Support research and development projects</w:t>
      </w:r>
    </w:p>
    <w:p w14:paraId="2535EF1A" w14:textId="77777777" w:rsidR="006E74A0" w:rsidRPr="00B74ABC" w:rsidRDefault="006E74A0" w:rsidP="006E74A0">
      <w:pPr>
        <w:spacing w:after="0" w:line="240" w:lineRule="auto"/>
        <w:ind w:left="426" w:hanging="426"/>
        <w:rPr>
          <w:rFonts w:eastAsia="Times New Roman" w:cs="Open Sans"/>
          <w:color w:val="auto"/>
          <w:szCs w:val="22"/>
        </w:rPr>
      </w:pPr>
    </w:p>
    <w:p w14:paraId="21227F2E"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lastRenderedPageBreak/>
        <w:t>Ensure that the Authority’s statutory responsibilities are effectively discharged</w:t>
      </w:r>
    </w:p>
    <w:p w14:paraId="4375CD2B" w14:textId="77777777" w:rsidR="006E74A0" w:rsidRPr="00B74ABC" w:rsidRDefault="006E74A0" w:rsidP="006E74A0">
      <w:pPr>
        <w:spacing w:after="0" w:line="240" w:lineRule="auto"/>
        <w:ind w:left="426" w:hanging="426"/>
        <w:rPr>
          <w:rFonts w:eastAsia="Times New Roman" w:cs="Open Sans"/>
          <w:color w:val="auto"/>
          <w:szCs w:val="22"/>
        </w:rPr>
      </w:pPr>
    </w:p>
    <w:p w14:paraId="194CD313" w14:textId="77777777" w:rsidR="006E74A0" w:rsidRPr="00B74ABC" w:rsidRDefault="006E74A0" w:rsidP="006E74A0">
      <w:pPr>
        <w:numPr>
          <w:ilvl w:val="0"/>
          <w:numId w:val="8"/>
        </w:numPr>
        <w:spacing w:after="0" w:line="240" w:lineRule="auto"/>
        <w:ind w:left="426" w:hanging="426"/>
        <w:rPr>
          <w:rFonts w:eastAsia="Times New Roman" w:cs="Open Sans"/>
          <w:color w:val="auto"/>
          <w:szCs w:val="22"/>
        </w:rPr>
      </w:pPr>
      <w:r w:rsidRPr="00B74ABC">
        <w:rPr>
          <w:rFonts w:eastAsia="Times New Roman" w:cs="Open Sans"/>
          <w:color w:val="auto"/>
          <w:szCs w:val="22"/>
        </w:rPr>
        <w:t>Carry out any further reasonable requests from your line manager</w:t>
      </w:r>
    </w:p>
    <w:p w14:paraId="519B31A8" w14:textId="49CCCC14" w:rsidR="00D24EE8" w:rsidRPr="00B74ABC" w:rsidRDefault="00D24EE8" w:rsidP="006E74A0">
      <w:pPr>
        <w:spacing w:after="0"/>
        <w:rPr>
          <w:rFonts w:cs="Open Sans"/>
          <w:color w:val="auto"/>
          <w:sz w:val="16"/>
          <w:szCs w:val="16"/>
        </w:rPr>
      </w:pPr>
    </w:p>
    <w:p w14:paraId="50BDF122" w14:textId="21D88556" w:rsidR="00D24EE8" w:rsidRPr="00B74ABC" w:rsidRDefault="00D24EE8" w:rsidP="006E74A0">
      <w:pPr>
        <w:spacing w:after="0"/>
        <w:rPr>
          <w:rFonts w:cs="Open Sans"/>
          <w:color w:val="auto"/>
          <w:sz w:val="16"/>
          <w:szCs w:val="16"/>
        </w:rPr>
      </w:pPr>
    </w:p>
    <w:p w14:paraId="352028CB" w14:textId="77777777" w:rsidR="00D24EE8" w:rsidRPr="00B74ABC" w:rsidRDefault="00D24EE8" w:rsidP="00D24EE8">
      <w:pPr>
        <w:spacing w:after="0" w:line="240" w:lineRule="auto"/>
        <w:jc w:val="both"/>
        <w:rPr>
          <w:rFonts w:ascii="Merriweather" w:eastAsia="Times New Roman" w:hAnsi="Merriweather" w:cs="Open Sans"/>
          <w:b/>
          <w:iCs/>
          <w:color w:val="595959"/>
          <w:sz w:val="32"/>
          <w:szCs w:val="32"/>
          <w:lang w:eastAsia="en-US"/>
        </w:rPr>
      </w:pPr>
      <w:r w:rsidRPr="00B74ABC">
        <w:rPr>
          <w:rFonts w:ascii="Merriweather" w:eastAsia="Times New Roman" w:hAnsi="Merriweather" w:cs="Open Sans"/>
          <w:b/>
          <w:iCs/>
          <w:color w:val="595959"/>
          <w:sz w:val="32"/>
          <w:szCs w:val="32"/>
          <w:lang w:eastAsia="en-US"/>
        </w:rPr>
        <w:t>Person specification</w:t>
      </w:r>
    </w:p>
    <w:p w14:paraId="2DC9CA4A" w14:textId="77777777" w:rsidR="00D24EE8" w:rsidRPr="00B74ABC" w:rsidRDefault="00D24EE8" w:rsidP="00D24EE8">
      <w:pPr>
        <w:spacing w:after="0" w:line="240" w:lineRule="auto"/>
        <w:jc w:val="both"/>
        <w:rPr>
          <w:rFonts w:ascii="Merriweather" w:eastAsia="Times New Roman" w:hAnsi="Merriweather" w:cs="Open Sans"/>
          <w:iCs/>
          <w:color w:val="auto"/>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3999"/>
        <w:gridCol w:w="3684"/>
      </w:tblGrid>
      <w:tr w:rsidR="0054269B" w:rsidRPr="00B74ABC" w14:paraId="65BC5E2F" w14:textId="77777777" w:rsidTr="00211BF3">
        <w:tc>
          <w:tcPr>
            <w:tcW w:w="10194" w:type="dxa"/>
            <w:gridSpan w:val="3"/>
          </w:tcPr>
          <w:p w14:paraId="724C90FB" w14:textId="77777777" w:rsidR="0054269B" w:rsidRPr="0054269B" w:rsidRDefault="0054269B" w:rsidP="0054269B">
            <w:pPr>
              <w:jc w:val="both"/>
              <w:rPr>
                <w:rFonts w:cs="Open Sans"/>
                <w:b/>
                <w:color w:val="auto"/>
                <w:sz w:val="26"/>
                <w:szCs w:val="26"/>
              </w:rPr>
            </w:pPr>
            <w:r w:rsidRPr="0054269B">
              <w:rPr>
                <w:rFonts w:cs="Open Sans"/>
                <w:b/>
                <w:color w:val="auto"/>
                <w:sz w:val="26"/>
                <w:szCs w:val="26"/>
              </w:rPr>
              <w:t xml:space="preserve">Behaviours </w:t>
            </w:r>
          </w:p>
          <w:p w14:paraId="2FC49421" w14:textId="77777777" w:rsidR="0054269B" w:rsidRPr="0054269B" w:rsidRDefault="0054269B" w:rsidP="0054269B">
            <w:pPr>
              <w:jc w:val="both"/>
              <w:rPr>
                <w:rFonts w:cs="Open Sans"/>
                <w:b/>
                <w:color w:val="auto"/>
              </w:rPr>
            </w:pPr>
            <w:r w:rsidRPr="0054269B">
              <w:rPr>
                <w:rFonts w:cs="Open Sans"/>
                <w:b/>
                <w:bCs/>
                <w:color w:val="auto"/>
              </w:rPr>
              <w:t>We expect all our colleagues to embody our core values and behaviours in their daily work. For this role, some particularly important indicators include</w:t>
            </w:r>
            <w:r w:rsidRPr="0054269B">
              <w:rPr>
                <w:rFonts w:cs="Open Sans"/>
                <w:b/>
                <w:color w:val="auto"/>
              </w:rPr>
              <w:t>:</w:t>
            </w:r>
          </w:p>
          <w:p w14:paraId="3B6C0D72" w14:textId="77777777" w:rsidR="0054269B" w:rsidRPr="0054269B" w:rsidRDefault="0054269B" w:rsidP="0054269B">
            <w:pPr>
              <w:jc w:val="both"/>
              <w:rPr>
                <w:rFonts w:cs="Open Sans"/>
                <w:b/>
                <w:color w:val="auto"/>
              </w:rPr>
            </w:pPr>
          </w:p>
          <w:tbl>
            <w:tblPr>
              <w:tblStyle w:val="TableGrid"/>
              <w:tblpPr w:leftFromText="180" w:rightFromText="180" w:vertAnchor="text" w:horzAnchor="margin" w:tblpX="-147" w:tblpY="-259"/>
              <w:tblOverlap w:val="never"/>
              <w:tblW w:w="10207" w:type="dxa"/>
              <w:tblLook w:val="04A0" w:firstRow="1" w:lastRow="0" w:firstColumn="1" w:lastColumn="0" w:noHBand="0" w:noVBand="1"/>
            </w:tblPr>
            <w:tblGrid>
              <w:gridCol w:w="2972"/>
              <w:gridCol w:w="3529"/>
              <w:gridCol w:w="3706"/>
            </w:tblGrid>
            <w:tr w:rsidR="0054269B" w:rsidRPr="0054269B" w14:paraId="6C8A1D9B" w14:textId="77777777" w:rsidTr="00997E23">
              <w:trPr>
                <w:trHeight w:val="547"/>
              </w:trPr>
              <w:tc>
                <w:tcPr>
                  <w:tcW w:w="2972" w:type="dxa"/>
                </w:tcPr>
                <w:p w14:paraId="6C7DBEDF" w14:textId="77777777" w:rsidR="0054269B" w:rsidRPr="0054269B" w:rsidRDefault="0054269B" w:rsidP="0054269B">
                  <w:pPr>
                    <w:jc w:val="both"/>
                    <w:rPr>
                      <w:rFonts w:cs="Open Sans"/>
                      <w:b/>
                      <w:color w:val="auto"/>
                      <w:szCs w:val="22"/>
                    </w:rPr>
                  </w:pPr>
                  <w:r w:rsidRPr="0054269B">
                    <w:rPr>
                      <w:rFonts w:cs="Open Sans"/>
                      <w:b/>
                      <w:color w:val="auto"/>
                      <w:szCs w:val="22"/>
                    </w:rPr>
                    <w:t xml:space="preserve">Trusted </w:t>
                  </w:r>
                </w:p>
              </w:tc>
              <w:tc>
                <w:tcPr>
                  <w:tcW w:w="3529" w:type="dxa"/>
                </w:tcPr>
                <w:p w14:paraId="2F107214" w14:textId="77777777" w:rsidR="0054269B" w:rsidRPr="0054269B" w:rsidRDefault="0054269B" w:rsidP="0054269B">
                  <w:pPr>
                    <w:jc w:val="both"/>
                    <w:rPr>
                      <w:rFonts w:cs="Open Sans"/>
                      <w:b/>
                      <w:color w:val="auto"/>
                      <w:szCs w:val="22"/>
                    </w:rPr>
                  </w:pPr>
                  <w:r w:rsidRPr="0054269B">
                    <w:rPr>
                      <w:rFonts w:cs="Open Sans"/>
                      <w:b/>
                      <w:color w:val="auto"/>
                      <w:szCs w:val="22"/>
                    </w:rPr>
                    <w:t xml:space="preserve">Inclusive </w:t>
                  </w:r>
                </w:p>
              </w:tc>
              <w:tc>
                <w:tcPr>
                  <w:tcW w:w="3706" w:type="dxa"/>
                </w:tcPr>
                <w:p w14:paraId="24F52B48" w14:textId="77777777" w:rsidR="0054269B" w:rsidRPr="0054269B" w:rsidRDefault="0054269B" w:rsidP="0054269B">
                  <w:pPr>
                    <w:jc w:val="both"/>
                    <w:rPr>
                      <w:rFonts w:cs="Open Sans"/>
                      <w:b/>
                      <w:color w:val="auto"/>
                      <w:szCs w:val="22"/>
                    </w:rPr>
                  </w:pPr>
                  <w:r w:rsidRPr="0054269B">
                    <w:rPr>
                      <w:rFonts w:cs="Open Sans"/>
                      <w:b/>
                      <w:color w:val="auto"/>
                      <w:szCs w:val="22"/>
                    </w:rPr>
                    <w:t xml:space="preserve">Progressive </w:t>
                  </w:r>
                </w:p>
              </w:tc>
            </w:tr>
            <w:tr w:rsidR="0054269B" w14:paraId="284C36A5" w14:textId="77777777" w:rsidTr="00997E23">
              <w:tc>
                <w:tcPr>
                  <w:tcW w:w="2972" w:type="dxa"/>
                </w:tcPr>
                <w:p w14:paraId="099EA2D9" w14:textId="23A8DFC0" w:rsidR="0054269B" w:rsidRPr="0054269B" w:rsidRDefault="0054269B" w:rsidP="0054269B">
                  <w:pPr>
                    <w:jc w:val="both"/>
                    <w:rPr>
                      <w:rFonts w:cs="Open Sans"/>
                      <w:bCs/>
                      <w:color w:val="595959"/>
                      <w:szCs w:val="22"/>
                    </w:rPr>
                  </w:pPr>
                  <w:r w:rsidRPr="0054269B">
                    <w:rPr>
                      <w:rFonts w:cs="Open Sans"/>
                      <w:bCs/>
                      <w:color w:val="auto"/>
                      <w:szCs w:val="22"/>
                    </w:rPr>
                    <w:t>Adapt</w:t>
                  </w:r>
                  <w:r>
                    <w:rPr>
                      <w:rFonts w:cs="Open Sans"/>
                      <w:bCs/>
                      <w:color w:val="auto"/>
                      <w:szCs w:val="22"/>
                    </w:rPr>
                    <w:t xml:space="preserve"> </w:t>
                  </w:r>
                  <w:r w:rsidRPr="0054269B">
                    <w:rPr>
                      <w:rFonts w:cs="Open Sans"/>
                      <w:bCs/>
                      <w:color w:val="auto"/>
                      <w:szCs w:val="22"/>
                    </w:rPr>
                    <w:t>quickly to emerging information</w:t>
                  </w:r>
                </w:p>
              </w:tc>
              <w:tc>
                <w:tcPr>
                  <w:tcW w:w="3529" w:type="dxa"/>
                </w:tcPr>
                <w:p w14:paraId="4932DB7C" w14:textId="77777777" w:rsidR="0054269B" w:rsidRPr="0054269B" w:rsidRDefault="0054269B" w:rsidP="0054269B">
                  <w:pPr>
                    <w:spacing w:after="0"/>
                    <w:jc w:val="both"/>
                    <w:rPr>
                      <w:rFonts w:cs="Open Sans"/>
                      <w:bCs/>
                      <w:szCs w:val="22"/>
                    </w:rPr>
                  </w:pPr>
                  <w:r w:rsidRPr="0054269B">
                    <w:rPr>
                      <w:rFonts w:cs="Open Sans"/>
                      <w:bCs/>
                      <w:szCs w:val="22"/>
                    </w:rPr>
                    <w:t>Use straightforward,</w:t>
                  </w:r>
                </w:p>
                <w:p w14:paraId="25DA02BA" w14:textId="1DDB480B" w:rsidR="0054269B" w:rsidRDefault="0054269B" w:rsidP="0054269B">
                  <w:pPr>
                    <w:spacing w:after="0"/>
                    <w:jc w:val="both"/>
                    <w:rPr>
                      <w:rFonts w:cs="Open Sans"/>
                      <w:b/>
                      <w:color w:val="595959"/>
                      <w:szCs w:val="22"/>
                    </w:rPr>
                  </w:pPr>
                  <w:r>
                    <w:rPr>
                      <w:rFonts w:cs="Open Sans"/>
                      <w:bCs/>
                      <w:szCs w:val="22"/>
                    </w:rPr>
                    <w:t>e</w:t>
                  </w:r>
                  <w:r w:rsidRPr="0054269B">
                    <w:rPr>
                      <w:rFonts w:cs="Open Sans"/>
                      <w:bCs/>
                      <w:szCs w:val="22"/>
                    </w:rPr>
                    <w:t>ngaging and accessible communication</w:t>
                  </w:r>
                </w:p>
              </w:tc>
              <w:tc>
                <w:tcPr>
                  <w:tcW w:w="3706" w:type="dxa"/>
                </w:tcPr>
                <w:p w14:paraId="4C044675" w14:textId="77777777" w:rsidR="0054269B" w:rsidRPr="0054269B" w:rsidRDefault="0054269B" w:rsidP="0054269B">
                  <w:pPr>
                    <w:spacing w:after="0"/>
                    <w:jc w:val="both"/>
                    <w:rPr>
                      <w:rFonts w:cs="Open Sans"/>
                      <w:bCs/>
                      <w:color w:val="auto"/>
                      <w:szCs w:val="22"/>
                    </w:rPr>
                  </w:pPr>
                  <w:r w:rsidRPr="0054269B">
                    <w:rPr>
                      <w:rFonts w:cs="Open Sans"/>
                      <w:bCs/>
                      <w:color w:val="auto"/>
                      <w:szCs w:val="22"/>
                    </w:rPr>
                    <w:t>Spot opportunities and bold solutions, using internal and external</w:t>
                  </w:r>
                  <w:r w:rsidRPr="0054269B">
                    <w:rPr>
                      <w:rFonts w:cs="Open Sans"/>
                      <w:bCs/>
                      <w:color w:val="auto"/>
                      <w:szCs w:val="22"/>
                    </w:rPr>
                    <w:t xml:space="preserve"> insight.</w:t>
                  </w:r>
                </w:p>
                <w:p w14:paraId="37A74D46" w14:textId="749172CD" w:rsidR="0054269B" w:rsidRPr="0054269B" w:rsidRDefault="0054269B" w:rsidP="0054269B">
                  <w:pPr>
                    <w:spacing w:after="0"/>
                    <w:jc w:val="both"/>
                    <w:rPr>
                      <w:rFonts w:cs="Open Sans"/>
                      <w:bCs/>
                      <w:color w:val="595959"/>
                      <w:szCs w:val="22"/>
                    </w:rPr>
                  </w:pPr>
                  <w:r w:rsidRPr="0054269B">
                    <w:rPr>
                      <w:rFonts w:cs="Open Sans"/>
                      <w:bCs/>
                      <w:color w:val="auto"/>
                      <w:szCs w:val="22"/>
                    </w:rPr>
                    <w:t xml:space="preserve">Welcome and invite feedback and challenge </w:t>
                  </w:r>
                </w:p>
              </w:tc>
            </w:tr>
          </w:tbl>
          <w:p w14:paraId="5862EA1E" w14:textId="77777777" w:rsidR="0054269B" w:rsidRPr="00B74ABC" w:rsidRDefault="0054269B" w:rsidP="00D24EE8">
            <w:pPr>
              <w:spacing w:after="0" w:line="240" w:lineRule="auto"/>
              <w:rPr>
                <w:rFonts w:eastAsia="Times New Roman" w:cs="Open Sans"/>
                <w:b/>
                <w:iCs/>
                <w:color w:val="auto"/>
                <w:sz w:val="26"/>
                <w:szCs w:val="26"/>
                <w:lang w:eastAsia="en-US"/>
              </w:rPr>
            </w:pPr>
          </w:p>
        </w:tc>
      </w:tr>
      <w:tr w:rsidR="00D24EE8" w:rsidRPr="00B74ABC" w14:paraId="49F72C8F" w14:textId="77777777" w:rsidTr="0054269B">
        <w:tc>
          <w:tcPr>
            <w:tcW w:w="1999" w:type="dxa"/>
          </w:tcPr>
          <w:p w14:paraId="5489F0FD" w14:textId="77777777" w:rsidR="00D24EE8" w:rsidRPr="00B74ABC" w:rsidRDefault="00D24EE8" w:rsidP="00D24EE8">
            <w:pPr>
              <w:spacing w:after="0" w:line="240" w:lineRule="auto"/>
              <w:rPr>
                <w:rFonts w:eastAsia="Times New Roman" w:cs="Open Sans"/>
                <w:iCs/>
                <w:color w:val="auto"/>
                <w:szCs w:val="22"/>
                <w:lang w:eastAsia="en-US"/>
              </w:rPr>
            </w:pPr>
          </w:p>
          <w:p w14:paraId="4AEEF519" w14:textId="77777777" w:rsidR="00D24EE8" w:rsidRPr="00B74ABC" w:rsidRDefault="00D24EE8" w:rsidP="00D24EE8">
            <w:pPr>
              <w:spacing w:after="0" w:line="240" w:lineRule="auto"/>
              <w:rPr>
                <w:rFonts w:eastAsia="Times New Roman" w:cs="Open Sans"/>
                <w:iCs/>
                <w:color w:val="auto"/>
                <w:szCs w:val="22"/>
                <w:lang w:eastAsia="en-US"/>
              </w:rPr>
            </w:pPr>
          </w:p>
        </w:tc>
        <w:tc>
          <w:tcPr>
            <w:tcW w:w="4148" w:type="dxa"/>
          </w:tcPr>
          <w:p w14:paraId="4C3D9C18" w14:textId="77777777" w:rsidR="00D24EE8" w:rsidRPr="00B74ABC" w:rsidRDefault="00D24EE8" w:rsidP="00D24EE8">
            <w:pPr>
              <w:spacing w:after="0" w:line="240" w:lineRule="auto"/>
              <w:rPr>
                <w:rFonts w:eastAsia="Times New Roman" w:cs="Open Sans"/>
                <w:b/>
                <w:iCs/>
                <w:color w:val="auto"/>
                <w:sz w:val="26"/>
                <w:szCs w:val="26"/>
                <w:lang w:eastAsia="en-US"/>
              </w:rPr>
            </w:pPr>
          </w:p>
          <w:p w14:paraId="729A20A7" w14:textId="77777777" w:rsidR="00D24EE8" w:rsidRPr="00B74ABC" w:rsidRDefault="00D24EE8" w:rsidP="00D24EE8">
            <w:pPr>
              <w:spacing w:after="0" w:line="240" w:lineRule="auto"/>
              <w:rPr>
                <w:rFonts w:eastAsia="Times New Roman" w:cs="Open Sans"/>
                <w:b/>
                <w:iCs/>
                <w:color w:val="auto"/>
                <w:sz w:val="26"/>
                <w:szCs w:val="26"/>
                <w:lang w:eastAsia="en-US"/>
              </w:rPr>
            </w:pPr>
            <w:r w:rsidRPr="00B74ABC">
              <w:rPr>
                <w:rFonts w:eastAsia="Times New Roman" w:cs="Open Sans"/>
                <w:b/>
                <w:iCs/>
                <w:color w:val="auto"/>
                <w:sz w:val="26"/>
                <w:szCs w:val="26"/>
                <w:lang w:eastAsia="en-US"/>
              </w:rPr>
              <w:t>Essential</w:t>
            </w:r>
          </w:p>
          <w:p w14:paraId="1DE3A201" w14:textId="77777777" w:rsidR="00D24EE8" w:rsidRPr="00B74ABC" w:rsidRDefault="00D24EE8" w:rsidP="00D24EE8">
            <w:pPr>
              <w:spacing w:after="0" w:line="240" w:lineRule="auto"/>
              <w:rPr>
                <w:rFonts w:eastAsia="Times New Roman" w:cs="Open Sans"/>
                <w:b/>
                <w:iCs/>
                <w:color w:val="auto"/>
                <w:sz w:val="26"/>
                <w:szCs w:val="26"/>
                <w:lang w:eastAsia="en-US"/>
              </w:rPr>
            </w:pPr>
          </w:p>
        </w:tc>
        <w:tc>
          <w:tcPr>
            <w:tcW w:w="4047" w:type="dxa"/>
          </w:tcPr>
          <w:p w14:paraId="40CAB33D" w14:textId="77777777" w:rsidR="00D24EE8" w:rsidRPr="00B74ABC" w:rsidRDefault="00D24EE8" w:rsidP="00D24EE8">
            <w:pPr>
              <w:spacing w:after="0" w:line="240" w:lineRule="auto"/>
              <w:rPr>
                <w:rFonts w:eastAsia="Times New Roman" w:cs="Open Sans"/>
                <w:b/>
                <w:iCs/>
                <w:color w:val="auto"/>
                <w:sz w:val="26"/>
                <w:szCs w:val="26"/>
                <w:lang w:eastAsia="en-US"/>
              </w:rPr>
            </w:pPr>
          </w:p>
          <w:p w14:paraId="3B4B11D0" w14:textId="77777777" w:rsidR="00D24EE8" w:rsidRPr="00B74ABC" w:rsidRDefault="00D24EE8" w:rsidP="00D24EE8">
            <w:pPr>
              <w:spacing w:after="0" w:line="240" w:lineRule="auto"/>
              <w:rPr>
                <w:rFonts w:eastAsia="Times New Roman" w:cs="Open Sans"/>
                <w:b/>
                <w:iCs/>
                <w:color w:val="auto"/>
                <w:sz w:val="26"/>
                <w:szCs w:val="26"/>
                <w:lang w:eastAsia="en-US"/>
              </w:rPr>
            </w:pPr>
            <w:r w:rsidRPr="00B74ABC">
              <w:rPr>
                <w:rFonts w:eastAsia="Times New Roman" w:cs="Open Sans"/>
                <w:b/>
                <w:iCs/>
                <w:color w:val="auto"/>
                <w:sz w:val="26"/>
                <w:szCs w:val="26"/>
                <w:lang w:eastAsia="en-US"/>
              </w:rPr>
              <w:t>Desirable</w:t>
            </w:r>
          </w:p>
        </w:tc>
      </w:tr>
      <w:tr w:rsidR="00D24EE8" w:rsidRPr="00B74ABC" w14:paraId="5DA7EC09" w14:textId="77777777" w:rsidTr="0054269B">
        <w:tc>
          <w:tcPr>
            <w:tcW w:w="1999" w:type="dxa"/>
          </w:tcPr>
          <w:p w14:paraId="2A75352E" w14:textId="77777777" w:rsidR="00D24EE8" w:rsidRPr="00B74ABC" w:rsidRDefault="00D24EE8" w:rsidP="00D24EE8">
            <w:pPr>
              <w:spacing w:after="0" w:line="240" w:lineRule="auto"/>
              <w:rPr>
                <w:rFonts w:eastAsia="Times New Roman" w:cs="Open Sans"/>
                <w:b/>
                <w:iCs/>
                <w:color w:val="auto"/>
                <w:szCs w:val="26"/>
                <w:lang w:eastAsia="en-US"/>
              </w:rPr>
            </w:pPr>
          </w:p>
          <w:p w14:paraId="6D85E745" w14:textId="77777777" w:rsidR="00D24EE8" w:rsidRPr="00B74ABC" w:rsidRDefault="00D24EE8" w:rsidP="00D24EE8">
            <w:pPr>
              <w:spacing w:after="0" w:line="240" w:lineRule="auto"/>
              <w:rPr>
                <w:rFonts w:eastAsia="Times New Roman" w:cs="Open Sans"/>
                <w:b/>
                <w:iCs/>
                <w:color w:val="auto"/>
                <w:szCs w:val="26"/>
                <w:lang w:eastAsia="en-US"/>
              </w:rPr>
            </w:pPr>
            <w:r w:rsidRPr="00B74ABC">
              <w:rPr>
                <w:rFonts w:eastAsia="Times New Roman" w:cs="Open Sans"/>
                <w:b/>
                <w:iCs/>
                <w:color w:val="auto"/>
                <w:szCs w:val="26"/>
                <w:lang w:eastAsia="en-US"/>
              </w:rPr>
              <w:t>Qualifications and Training</w:t>
            </w:r>
          </w:p>
          <w:p w14:paraId="45063FCC" w14:textId="77777777" w:rsidR="00D24EE8" w:rsidRPr="00B74ABC" w:rsidRDefault="00D24EE8" w:rsidP="00D24EE8">
            <w:pPr>
              <w:spacing w:after="0" w:line="240" w:lineRule="auto"/>
              <w:rPr>
                <w:rFonts w:eastAsia="Times New Roman" w:cs="Open Sans"/>
                <w:b/>
                <w:iCs/>
                <w:color w:val="auto"/>
                <w:szCs w:val="26"/>
                <w:lang w:eastAsia="en-US"/>
              </w:rPr>
            </w:pPr>
          </w:p>
        </w:tc>
        <w:tc>
          <w:tcPr>
            <w:tcW w:w="4148" w:type="dxa"/>
          </w:tcPr>
          <w:p w14:paraId="1BCA4729" w14:textId="7EEE4E6B" w:rsidR="00D24EE8" w:rsidRPr="00B74ABC" w:rsidRDefault="00B74ABC" w:rsidP="00D73DD5">
            <w:pPr>
              <w:spacing w:after="0" w:line="240" w:lineRule="auto"/>
              <w:rPr>
                <w:rFonts w:eastAsia="Times New Roman" w:cs="Open Sans"/>
                <w:iCs/>
                <w:color w:val="auto"/>
                <w:szCs w:val="22"/>
                <w:lang w:eastAsia="en-US"/>
              </w:rPr>
            </w:pPr>
            <w:r w:rsidRPr="00B74ABC">
              <w:rPr>
                <w:rFonts w:eastAsia="Times New Roman" w:cs="Open Sans"/>
                <w:iCs/>
                <w:color w:val="auto"/>
                <w:szCs w:val="22"/>
                <w:lang w:eastAsia="en-US"/>
              </w:rPr>
              <w:t>Full UK driving licence</w:t>
            </w:r>
            <w:r w:rsidR="00D73DD5">
              <w:rPr>
                <w:rFonts w:eastAsia="Times New Roman" w:cs="Open Sans"/>
                <w:iCs/>
                <w:color w:val="auto"/>
                <w:szCs w:val="22"/>
                <w:lang w:eastAsia="en-US"/>
              </w:rPr>
              <w:t xml:space="preserve">. </w:t>
            </w:r>
            <w:r w:rsidRPr="00B74ABC">
              <w:rPr>
                <w:rFonts w:eastAsia="Times New Roman" w:cs="Open Sans"/>
                <w:iCs/>
                <w:color w:val="auto"/>
                <w:szCs w:val="22"/>
                <w:lang w:eastAsia="en-US"/>
              </w:rPr>
              <w:t xml:space="preserve"> </w:t>
            </w:r>
          </w:p>
        </w:tc>
        <w:tc>
          <w:tcPr>
            <w:tcW w:w="4047" w:type="dxa"/>
          </w:tcPr>
          <w:p w14:paraId="3A189F66" w14:textId="242C9D2E" w:rsidR="00D24EE8" w:rsidRPr="00B74ABC" w:rsidRDefault="00B74ABC" w:rsidP="0054269B">
            <w:pPr>
              <w:spacing w:after="0" w:line="240" w:lineRule="auto"/>
              <w:rPr>
                <w:rFonts w:eastAsia="Times New Roman" w:cs="Open Sans"/>
                <w:iCs/>
                <w:color w:val="auto"/>
                <w:szCs w:val="22"/>
                <w:lang w:eastAsia="en-US"/>
              </w:rPr>
            </w:pPr>
            <w:r>
              <w:rPr>
                <w:rFonts w:cs="Open Sans"/>
                <w:szCs w:val="22"/>
              </w:rPr>
              <w:t>Degree or vocational qualification in Emergency Planning and Business Continuity.</w:t>
            </w:r>
          </w:p>
        </w:tc>
      </w:tr>
      <w:tr w:rsidR="00D24EE8" w:rsidRPr="00B74ABC" w14:paraId="14A11847" w14:textId="77777777" w:rsidTr="0054269B">
        <w:tc>
          <w:tcPr>
            <w:tcW w:w="1999" w:type="dxa"/>
          </w:tcPr>
          <w:p w14:paraId="0E170943" w14:textId="77777777" w:rsidR="00D24EE8" w:rsidRPr="00B74ABC" w:rsidRDefault="00D24EE8" w:rsidP="00D24EE8">
            <w:pPr>
              <w:spacing w:after="0" w:line="240" w:lineRule="auto"/>
              <w:rPr>
                <w:rFonts w:eastAsia="Times New Roman" w:cs="Open Sans"/>
                <w:b/>
                <w:iCs/>
                <w:color w:val="auto"/>
                <w:szCs w:val="26"/>
                <w:lang w:eastAsia="en-US"/>
              </w:rPr>
            </w:pPr>
          </w:p>
          <w:p w14:paraId="24CB09B6" w14:textId="77777777" w:rsidR="00D24EE8" w:rsidRPr="00B74ABC" w:rsidRDefault="00D24EE8" w:rsidP="00D24EE8">
            <w:pPr>
              <w:spacing w:after="0" w:line="240" w:lineRule="auto"/>
              <w:rPr>
                <w:rFonts w:eastAsia="Times New Roman" w:cs="Open Sans"/>
                <w:b/>
                <w:iCs/>
                <w:color w:val="auto"/>
                <w:szCs w:val="26"/>
                <w:lang w:eastAsia="en-US"/>
              </w:rPr>
            </w:pPr>
            <w:r w:rsidRPr="00B74ABC">
              <w:rPr>
                <w:rFonts w:eastAsia="Times New Roman" w:cs="Open Sans"/>
                <w:b/>
                <w:iCs/>
                <w:color w:val="auto"/>
                <w:szCs w:val="26"/>
                <w:lang w:eastAsia="en-US"/>
              </w:rPr>
              <w:t>Experience and Knowledge</w:t>
            </w:r>
          </w:p>
          <w:p w14:paraId="1C4051B4" w14:textId="77777777" w:rsidR="00D24EE8" w:rsidRPr="00B74ABC" w:rsidRDefault="00D24EE8" w:rsidP="00D24EE8">
            <w:pPr>
              <w:spacing w:after="0" w:line="240" w:lineRule="auto"/>
              <w:rPr>
                <w:rFonts w:eastAsia="Times New Roman" w:cs="Open Sans"/>
                <w:b/>
                <w:iCs/>
                <w:color w:val="auto"/>
                <w:szCs w:val="26"/>
                <w:lang w:eastAsia="en-US"/>
              </w:rPr>
            </w:pPr>
          </w:p>
        </w:tc>
        <w:tc>
          <w:tcPr>
            <w:tcW w:w="4148" w:type="dxa"/>
          </w:tcPr>
          <w:p w14:paraId="6A8B1DE9" w14:textId="043F63C6" w:rsidR="00D24EE8" w:rsidRPr="0054269B" w:rsidRDefault="00B74ABC" w:rsidP="0054269B">
            <w:pPr>
              <w:rPr>
                <w:rFonts w:cs="Open Sans"/>
                <w:color w:val="auto"/>
                <w:szCs w:val="22"/>
              </w:rPr>
            </w:pPr>
            <w:r>
              <w:rPr>
                <w:rFonts w:cs="Open Sans"/>
                <w:szCs w:val="22"/>
              </w:rPr>
              <w:t xml:space="preserve">In depth knowledge of the Civil Contingencies Act 2004, UK Emergency response concept of operations and Joint Emergency Services Interoperability Principles. </w:t>
            </w:r>
          </w:p>
        </w:tc>
        <w:tc>
          <w:tcPr>
            <w:tcW w:w="4047" w:type="dxa"/>
          </w:tcPr>
          <w:p w14:paraId="76076455" w14:textId="4F7EBC77" w:rsidR="00D24EE8" w:rsidRPr="00B74ABC" w:rsidRDefault="00B74ABC" w:rsidP="00D24EE8">
            <w:pPr>
              <w:spacing w:after="0" w:line="240" w:lineRule="auto"/>
              <w:rPr>
                <w:rFonts w:eastAsia="Times New Roman" w:cs="Open Sans"/>
                <w:iCs/>
                <w:color w:val="auto"/>
                <w:szCs w:val="22"/>
                <w:lang w:eastAsia="en-US"/>
              </w:rPr>
            </w:pPr>
            <w:r>
              <w:rPr>
                <w:rFonts w:cs="Open Sans"/>
                <w:szCs w:val="22"/>
              </w:rPr>
              <w:t>Experience of working for a Cat 1 or 2 organisation in an Emergency Planning or Business Continuity role.</w:t>
            </w:r>
          </w:p>
        </w:tc>
      </w:tr>
      <w:tr w:rsidR="00D24EE8" w:rsidRPr="00B74ABC" w14:paraId="57F71177" w14:textId="77777777" w:rsidTr="0054269B">
        <w:tc>
          <w:tcPr>
            <w:tcW w:w="1999" w:type="dxa"/>
          </w:tcPr>
          <w:p w14:paraId="032D17F7" w14:textId="77777777" w:rsidR="00D24EE8" w:rsidRPr="00B74ABC" w:rsidRDefault="00D24EE8" w:rsidP="00D24EE8">
            <w:pPr>
              <w:spacing w:after="0" w:line="240" w:lineRule="auto"/>
              <w:rPr>
                <w:rFonts w:eastAsia="Times New Roman" w:cs="Open Sans"/>
                <w:b/>
                <w:iCs/>
                <w:color w:val="auto"/>
                <w:szCs w:val="26"/>
                <w:lang w:eastAsia="en-US"/>
              </w:rPr>
            </w:pPr>
          </w:p>
          <w:p w14:paraId="73FD0CBC" w14:textId="77777777" w:rsidR="00D24EE8" w:rsidRPr="00B74ABC" w:rsidRDefault="00D24EE8" w:rsidP="00D24EE8">
            <w:pPr>
              <w:spacing w:after="0" w:line="240" w:lineRule="auto"/>
              <w:rPr>
                <w:rFonts w:eastAsia="Times New Roman" w:cs="Open Sans"/>
                <w:b/>
                <w:iCs/>
                <w:color w:val="auto"/>
                <w:szCs w:val="26"/>
                <w:lang w:eastAsia="en-US"/>
              </w:rPr>
            </w:pPr>
            <w:r w:rsidRPr="00B74ABC">
              <w:rPr>
                <w:rFonts w:eastAsia="Times New Roman" w:cs="Open Sans"/>
                <w:b/>
                <w:iCs/>
                <w:color w:val="auto"/>
                <w:szCs w:val="26"/>
                <w:lang w:eastAsia="en-US"/>
              </w:rPr>
              <w:t>Skills and Abilities</w:t>
            </w:r>
          </w:p>
          <w:p w14:paraId="4DDE765E" w14:textId="77777777" w:rsidR="00D24EE8" w:rsidRPr="00B74ABC" w:rsidRDefault="00D24EE8" w:rsidP="00D24EE8">
            <w:pPr>
              <w:spacing w:after="0" w:line="240" w:lineRule="auto"/>
              <w:rPr>
                <w:rFonts w:eastAsia="Times New Roman" w:cs="Open Sans"/>
                <w:b/>
                <w:iCs/>
                <w:color w:val="auto"/>
                <w:szCs w:val="26"/>
                <w:lang w:eastAsia="en-US"/>
              </w:rPr>
            </w:pPr>
          </w:p>
        </w:tc>
        <w:tc>
          <w:tcPr>
            <w:tcW w:w="4148" w:type="dxa"/>
          </w:tcPr>
          <w:p w14:paraId="6A6FDE78" w14:textId="4CB5B459" w:rsidR="00D24EE8" w:rsidRPr="00B74ABC" w:rsidRDefault="00B74ABC" w:rsidP="00B74ABC">
            <w:pPr>
              <w:spacing w:after="0" w:line="240" w:lineRule="auto"/>
              <w:rPr>
                <w:rFonts w:eastAsia="Times New Roman" w:cs="Open Sans"/>
                <w:iCs/>
                <w:color w:val="auto"/>
                <w:szCs w:val="22"/>
                <w:lang w:eastAsia="en-US"/>
              </w:rPr>
            </w:pPr>
            <w:r>
              <w:rPr>
                <w:rFonts w:cs="Open Sans"/>
                <w:szCs w:val="22"/>
              </w:rPr>
              <w:t>Proficient Microsoft Office user. Strong written and verbal communication. Confident presenting to large groups and briefing senior colleagues.</w:t>
            </w:r>
          </w:p>
        </w:tc>
        <w:tc>
          <w:tcPr>
            <w:tcW w:w="4047" w:type="dxa"/>
          </w:tcPr>
          <w:p w14:paraId="60B69821" w14:textId="645FEA13" w:rsidR="00D24EE8" w:rsidRPr="00B74ABC" w:rsidRDefault="00D73DD5" w:rsidP="00B74ABC">
            <w:pPr>
              <w:spacing w:after="0" w:line="240" w:lineRule="auto"/>
              <w:rPr>
                <w:rFonts w:eastAsia="Times New Roman" w:cs="Open Sans"/>
                <w:iCs/>
                <w:color w:val="auto"/>
                <w:szCs w:val="22"/>
                <w:lang w:eastAsia="en-US"/>
              </w:rPr>
            </w:pPr>
            <w:r>
              <w:rPr>
                <w:rFonts w:eastAsia="Times New Roman" w:cs="Open Sans"/>
                <w:iCs/>
                <w:color w:val="auto"/>
                <w:szCs w:val="22"/>
                <w:lang w:eastAsia="en-US"/>
              </w:rPr>
              <w:t>Trained multi-agency debriefer.</w:t>
            </w:r>
          </w:p>
        </w:tc>
      </w:tr>
    </w:tbl>
    <w:p w14:paraId="726785A7" w14:textId="6F2BA773" w:rsidR="0054269B" w:rsidRPr="0054269B" w:rsidRDefault="00D24EE8" w:rsidP="0054269B">
      <w:pPr>
        <w:spacing w:after="0" w:line="240" w:lineRule="auto"/>
        <w:rPr>
          <w:rFonts w:ascii="Merriweather" w:eastAsia="Times New Roman" w:hAnsi="Merriweather" w:cs="Open Sans"/>
          <w:iCs/>
          <w:color w:val="auto"/>
          <w:szCs w:val="22"/>
          <w:lang w:eastAsia="en-US"/>
        </w:rPr>
      </w:pPr>
      <w:r w:rsidRPr="00B74ABC">
        <w:rPr>
          <w:rFonts w:ascii="Merriweather" w:eastAsia="Times New Roman" w:hAnsi="Merriweather" w:cs="Open Sans"/>
          <w:iCs/>
          <w:color w:val="auto"/>
          <w:lang w:eastAsia="en-US"/>
        </w:rPr>
        <w:t xml:space="preserve">       </w:t>
      </w:r>
    </w:p>
    <w:sectPr w:rsidR="0054269B" w:rsidRPr="0054269B" w:rsidSect="00174D02">
      <w:headerReference w:type="default" r:id="rId8"/>
      <w:footerReference w:type="default" r:id="rId9"/>
      <w:headerReference w:type="first" r:id="rId10"/>
      <w:footerReference w:type="first" r:id="rId11"/>
      <w:pgSz w:w="11906" w:h="16838" w:code="9"/>
      <w:pgMar w:top="851" w:right="851" w:bottom="1985"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5EC7" w14:textId="77777777" w:rsidR="009B38BD" w:rsidRPr="00B74ABC" w:rsidRDefault="009B38BD" w:rsidP="004E3E6E">
      <w:r w:rsidRPr="00B74ABC">
        <w:separator/>
      </w:r>
    </w:p>
  </w:endnote>
  <w:endnote w:type="continuationSeparator" w:id="0">
    <w:p w14:paraId="10C38E45" w14:textId="77777777" w:rsidR="009B38BD" w:rsidRPr="00B74ABC" w:rsidRDefault="009B38BD" w:rsidP="004E3E6E">
      <w:r w:rsidRPr="00B74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B74ABC" w:rsidRDefault="002E5CD4" w:rsidP="006B7FA5">
    <w:pPr>
      <w:pStyle w:val="Footer"/>
    </w:pPr>
    <w:r w:rsidRPr="00B74ABC">
      <w:rPr>
        <w:noProof/>
      </w:rPr>
      <w:drawing>
        <wp:anchor distT="0" distB="0" distL="114300" distR="114300" simplePos="0" relativeHeight="251665408"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B74ABC">
      <w:rPr>
        <w:noProof/>
      </w:rPr>
      <mc:AlternateContent>
        <mc:Choice Requires="wps">
          <w:drawing>
            <wp:anchor distT="45720" distB="45720" distL="114300" distR="114300" simplePos="0" relativeHeight="251666432"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B74ABC"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B74ABC"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Pr="00B74ABC" w:rsidRDefault="002373F3" w:rsidP="009418DB">
    <w:pPr>
      <w:pStyle w:val="Footer"/>
    </w:pPr>
    <w:r w:rsidRPr="00B74ABC">
      <w:rPr>
        <w:noProof/>
      </w:rPr>
      <w:drawing>
        <wp:anchor distT="0" distB="0" distL="114300" distR="114300" simplePos="0" relativeHeight="251660288"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sidRPr="00B74ABC">
      <w:rPr>
        <w:noProof/>
      </w:rPr>
      <mc:AlternateContent>
        <mc:Choice Requires="wps">
          <w:drawing>
            <wp:anchor distT="45720" distB="45720" distL="114300" distR="114300" simplePos="0" relativeHeight="251663360"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B74ABC"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B74ABC"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BC35" w14:textId="77777777" w:rsidR="009B38BD" w:rsidRPr="00B74ABC" w:rsidRDefault="009B38BD" w:rsidP="004E3E6E">
      <w:r w:rsidRPr="00B74ABC">
        <w:separator/>
      </w:r>
    </w:p>
  </w:footnote>
  <w:footnote w:type="continuationSeparator" w:id="0">
    <w:p w14:paraId="178C789B" w14:textId="77777777" w:rsidR="009B38BD" w:rsidRPr="00B74ABC" w:rsidRDefault="009B38BD" w:rsidP="004E3E6E">
      <w:r w:rsidRPr="00B74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CE95" w14:textId="1FEAB208" w:rsidR="006E74A0" w:rsidRPr="00B74ABC" w:rsidRDefault="006E74A0" w:rsidP="006E74A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B74ABC">
      <w:rPr>
        <w:rFonts w:ascii="Open Sans Light" w:eastAsia="Times New Roman" w:hAnsi="Open Sans Light" w:cs="Open Sans Light"/>
        <w:color w:val="auto"/>
        <w:sz w:val="18"/>
        <w:szCs w:val="22"/>
      </w:rPr>
      <w:t xml:space="preserve">Job description – </w:t>
    </w:r>
    <w:r w:rsidR="00D86C2C" w:rsidRPr="00B74ABC">
      <w:rPr>
        <w:rFonts w:ascii="Open Sans Light" w:eastAsia="Times New Roman" w:hAnsi="Open Sans Light" w:cs="Open Sans Light"/>
        <w:color w:val="auto"/>
        <w:sz w:val="18"/>
        <w:szCs w:val="22"/>
      </w:rPr>
      <w:t>Resilience Manager – December 2025</w:t>
    </w:r>
  </w:p>
  <w:p w14:paraId="5A98F7F1" w14:textId="77777777" w:rsidR="004C6C4F" w:rsidRPr="00B74ABC" w:rsidRDefault="004C6C4F">
    <w:pPr>
      <w:pStyle w:val="Header"/>
    </w:pPr>
  </w:p>
  <w:p w14:paraId="396CB8FC" w14:textId="77777777" w:rsidR="004C6C4F" w:rsidRPr="00B74ABC" w:rsidRDefault="004C6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74ABC"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Pr="00B74ABC" w:rsidRDefault="004D7D68" w:rsidP="00CB1E54">
    <w:pPr>
      <w:pStyle w:val="Header"/>
      <w:tabs>
        <w:tab w:val="left" w:pos="6720"/>
        <w:tab w:val="right" w:pos="10204"/>
      </w:tabs>
      <w:spacing w:after="0"/>
      <w:rPr>
        <w:color w:val="auto"/>
      </w:rPr>
    </w:pPr>
  </w:p>
  <w:p w14:paraId="5BA43158" w14:textId="0CE266C6" w:rsidR="00C30410" w:rsidRPr="00B74ABC" w:rsidRDefault="00C30410" w:rsidP="00C3041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B74ABC">
      <w:rPr>
        <w:rFonts w:ascii="Open Sans Light" w:eastAsia="Times New Roman" w:hAnsi="Open Sans Light" w:cs="Open Sans Light"/>
        <w:color w:val="auto"/>
        <w:sz w:val="18"/>
        <w:szCs w:val="22"/>
      </w:rPr>
      <w:t xml:space="preserve">Job description – </w:t>
    </w:r>
    <w:r w:rsidR="009D3B18" w:rsidRPr="00B74ABC">
      <w:rPr>
        <w:rFonts w:ascii="Open Sans Light" w:eastAsia="Times New Roman" w:hAnsi="Open Sans Light" w:cs="Open Sans Light"/>
        <w:color w:val="auto"/>
        <w:sz w:val="18"/>
        <w:szCs w:val="22"/>
      </w:rPr>
      <w:t>Resilience Manager</w:t>
    </w:r>
    <w:r w:rsidRPr="00B74ABC">
      <w:rPr>
        <w:rFonts w:ascii="Open Sans Light" w:eastAsia="Times New Roman" w:hAnsi="Open Sans Light" w:cs="Open Sans Light"/>
        <w:color w:val="auto"/>
        <w:sz w:val="18"/>
        <w:szCs w:val="22"/>
      </w:rPr>
      <w:t xml:space="preserve"> </w:t>
    </w:r>
    <w:r w:rsidR="009D3B18" w:rsidRPr="00B74ABC">
      <w:rPr>
        <w:rFonts w:ascii="Open Sans Light" w:eastAsia="Times New Roman" w:hAnsi="Open Sans Light" w:cs="Open Sans Light"/>
        <w:color w:val="auto"/>
        <w:sz w:val="18"/>
        <w:szCs w:val="22"/>
      </w:rPr>
      <w:t>–</w:t>
    </w:r>
    <w:r w:rsidRPr="00B74ABC">
      <w:rPr>
        <w:rFonts w:ascii="Open Sans Light" w:eastAsia="Times New Roman" w:hAnsi="Open Sans Light" w:cs="Open Sans Light"/>
        <w:color w:val="auto"/>
        <w:sz w:val="18"/>
        <w:szCs w:val="22"/>
      </w:rPr>
      <w:t xml:space="preserve"> </w:t>
    </w:r>
    <w:r w:rsidR="009D3B18" w:rsidRPr="00B74ABC">
      <w:rPr>
        <w:rFonts w:ascii="Open Sans Light" w:eastAsia="Times New Roman" w:hAnsi="Open Sans Light" w:cs="Open Sans Light"/>
        <w:color w:val="auto"/>
        <w:sz w:val="18"/>
        <w:szCs w:val="22"/>
      </w:rPr>
      <w:t>December 2025</w:t>
    </w:r>
  </w:p>
  <w:p w14:paraId="695E359A" w14:textId="19A53C7F" w:rsidR="004D7D68" w:rsidRPr="00B74ABC" w:rsidRDefault="004D7D68" w:rsidP="004D7D68">
    <w:pPr>
      <w:pStyle w:val="Header"/>
      <w:tabs>
        <w:tab w:val="left" w:pos="6720"/>
        <w:tab w:val="right" w:pos="10204"/>
      </w:tabs>
      <w:spacing w:after="0"/>
      <w:jc w:val="right"/>
    </w:pPr>
    <w:r w:rsidRPr="00B74ABC">
      <w:t xml:space="preserve">                                                                                                </w:t>
    </w:r>
    <w:r w:rsidR="00CB1E54" w:rsidRPr="00B74ABC">
      <w:t xml:space="preserve">                   </w:t>
    </w:r>
  </w:p>
  <w:p w14:paraId="2227E80B" w14:textId="5842731D" w:rsidR="004D7D68" w:rsidRPr="00B74ABC" w:rsidRDefault="004D7D68" w:rsidP="00CB1E54">
    <w:pPr>
      <w:pStyle w:val="Header"/>
      <w:tabs>
        <w:tab w:val="left" w:pos="6720"/>
        <w:tab w:val="right" w:pos="10204"/>
      </w:tabs>
      <w:spacing w:after="0"/>
      <w:jc w:val="right"/>
    </w:pPr>
    <w:r w:rsidRPr="00B74ABC">
      <w:t xml:space="preserve">                                        </w:t>
    </w:r>
    <w:r w:rsidR="00CB1E54" w:rsidRPr="00B74ABC">
      <w:t xml:space="preserve">                </w:t>
    </w:r>
  </w:p>
  <w:p w14:paraId="63A236CF" w14:textId="06BD1376" w:rsidR="004D7D68" w:rsidRPr="00B74ABC" w:rsidRDefault="00B7140F" w:rsidP="004D7D68">
    <w:pPr>
      <w:pStyle w:val="Header"/>
      <w:tabs>
        <w:tab w:val="left" w:pos="6720"/>
        <w:tab w:val="right" w:pos="10204"/>
      </w:tabs>
      <w:jc w:val="right"/>
    </w:pPr>
    <w:r w:rsidRPr="00B74ABC">
      <w:rPr>
        <w:rFonts w:ascii="Open Sans Light" w:hAnsi="Open Sans Light" w:cs="Open Sans Light"/>
        <w:noProof/>
      </w:rPr>
      <w:drawing>
        <wp:anchor distT="0" distB="0" distL="114300" distR="114300" simplePos="0" relativeHeight="251659264"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C4F" w:rsidRPr="00B74ABC">
      <w:tab/>
    </w:r>
  </w:p>
  <w:p w14:paraId="2EDC5124" w14:textId="0CEF59B0" w:rsidR="00CB1E54" w:rsidRPr="00B74ABC" w:rsidRDefault="00CB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F3B21"/>
    <w:multiLevelType w:val="hybridMultilevel"/>
    <w:tmpl w:val="312E0DC6"/>
    <w:lvl w:ilvl="0" w:tplc="08090001">
      <w:start w:val="1"/>
      <w:numFmt w:val="bullet"/>
      <w:lvlText w:val=""/>
      <w:lvlJc w:val="left"/>
      <w:pPr>
        <w:ind w:left="870" w:hanging="360"/>
      </w:pPr>
      <w:rPr>
        <w:rFonts w:ascii="Symbol" w:hAnsi="Symbol" w:hint="default"/>
      </w:rPr>
    </w:lvl>
    <w:lvl w:ilvl="1" w:tplc="08090003">
      <w:start w:val="1"/>
      <w:numFmt w:val="bullet"/>
      <w:lvlText w:val="o"/>
      <w:lvlJc w:val="left"/>
      <w:pPr>
        <w:ind w:left="1590" w:hanging="360"/>
      </w:pPr>
      <w:rPr>
        <w:rFonts w:ascii="Courier New" w:hAnsi="Courier New" w:cs="Courier New" w:hint="default"/>
      </w:rPr>
    </w:lvl>
    <w:lvl w:ilvl="2" w:tplc="08090005">
      <w:start w:val="1"/>
      <w:numFmt w:val="bullet"/>
      <w:lvlText w:val=""/>
      <w:lvlJc w:val="left"/>
      <w:pPr>
        <w:ind w:left="2310" w:hanging="360"/>
      </w:pPr>
      <w:rPr>
        <w:rFonts w:ascii="Wingdings" w:hAnsi="Wingdings" w:hint="default"/>
      </w:rPr>
    </w:lvl>
    <w:lvl w:ilvl="3" w:tplc="08090001">
      <w:start w:val="1"/>
      <w:numFmt w:val="bullet"/>
      <w:lvlText w:val=""/>
      <w:lvlJc w:val="left"/>
      <w:pPr>
        <w:ind w:left="3030" w:hanging="360"/>
      </w:pPr>
      <w:rPr>
        <w:rFonts w:ascii="Symbol" w:hAnsi="Symbol" w:hint="default"/>
      </w:rPr>
    </w:lvl>
    <w:lvl w:ilvl="4" w:tplc="08090003">
      <w:start w:val="1"/>
      <w:numFmt w:val="bullet"/>
      <w:lvlText w:val="o"/>
      <w:lvlJc w:val="left"/>
      <w:pPr>
        <w:ind w:left="3750" w:hanging="360"/>
      </w:pPr>
      <w:rPr>
        <w:rFonts w:ascii="Courier New" w:hAnsi="Courier New" w:cs="Courier New" w:hint="default"/>
      </w:rPr>
    </w:lvl>
    <w:lvl w:ilvl="5" w:tplc="08090005">
      <w:start w:val="1"/>
      <w:numFmt w:val="bullet"/>
      <w:lvlText w:val=""/>
      <w:lvlJc w:val="left"/>
      <w:pPr>
        <w:ind w:left="4470" w:hanging="360"/>
      </w:pPr>
      <w:rPr>
        <w:rFonts w:ascii="Wingdings" w:hAnsi="Wingdings" w:hint="default"/>
      </w:rPr>
    </w:lvl>
    <w:lvl w:ilvl="6" w:tplc="08090001">
      <w:start w:val="1"/>
      <w:numFmt w:val="bullet"/>
      <w:lvlText w:val=""/>
      <w:lvlJc w:val="left"/>
      <w:pPr>
        <w:ind w:left="5190" w:hanging="360"/>
      </w:pPr>
      <w:rPr>
        <w:rFonts w:ascii="Symbol" w:hAnsi="Symbol" w:hint="default"/>
      </w:rPr>
    </w:lvl>
    <w:lvl w:ilvl="7" w:tplc="08090003">
      <w:start w:val="1"/>
      <w:numFmt w:val="bullet"/>
      <w:lvlText w:val="o"/>
      <w:lvlJc w:val="left"/>
      <w:pPr>
        <w:ind w:left="5910" w:hanging="360"/>
      </w:pPr>
      <w:rPr>
        <w:rFonts w:ascii="Courier New" w:hAnsi="Courier New" w:cs="Courier New" w:hint="default"/>
      </w:rPr>
    </w:lvl>
    <w:lvl w:ilvl="8" w:tplc="08090005">
      <w:start w:val="1"/>
      <w:numFmt w:val="bullet"/>
      <w:lvlText w:val=""/>
      <w:lvlJc w:val="left"/>
      <w:pPr>
        <w:ind w:left="6630" w:hanging="360"/>
      </w:pPr>
      <w:rPr>
        <w:rFonts w:ascii="Wingdings" w:hAnsi="Wingdings" w:hint="default"/>
      </w:rPr>
    </w:lvl>
  </w:abstractNum>
  <w:abstractNum w:abstractNumId="4"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144572">
    <w:abstractNumId w:val="10"/>
  </w:num>
  <w:num w:numId="2" w16cid:durableId="452944080">
    <w:abstractNumId w:val="2"/>
  </w:num>
  <w:num w:numId="3" w16cid:durableId="2097508530">
    <w:abstractNumId w:val="8"/>
  </w:num>
  <w:num w:numId="4" w16cid:durableId="968900206">
    <w:abstractNumId w:val="4"/>
  </w:num>
  <w:num w:numId="5" w16cid:durableId="951130274">
    <w:abstractNumId w:val="6"/>
  </w:num>
  <w:num w:numId="6" w16cid:durableId="1551384908">
    <w:abstractNumId w:val="0"/>
  </w:num>
  <w:num w:numId="7" w16cid:durableId="1300964536">
    <w:abstractNumId w:val="9"/>
  </w:num>
  <w:num w:numId="8" w16cid:durableId="1907497347">
    <w:abstractNumId w:val="7"/>
  </w:num>
  <w:num w:numId="9" w16cid:durableId="1919288805">
    <w:abstractNumId w:val="1"/>
  </w:num>
  <w:num w:numId="10" w16cid:durableId="667758226">
    <w:abstractNumId w:val="5"/>
  </w:num>
  <w:num w:numId="11" w16cid:durableId="60674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22E8F"/>
    <w:rsid w:val="00023AC9"/>
    <w:rsid w:val="0004017E"/>
    <w:rsid w:val="00044DB2"/>
    <w:rsid w:val="00045D12"/>
    <w:rsid w:val="000826B3"/>
    <w:rsid w:val="0008565C"/>
    <w:rsid w:val="000F2476"/>
    <w:rsid w:val="00105000"/>
    <w:rsid w:val="001230F8"/>
    <w:rsid w:val="00123CA7"/>
    <w:rsid w:val="00127586"/>
    <w:rsid w:val="001313C8"/>
    <w:rsid w:val="00136462"/>
    <w:rsid w:val="001521FB"/>
    <w:rsid w:val="001548B3"/>
    <w:rsid w:val="00174D02"/>
    <w:rsid w:val="001E0379"/>
    <w:rsid w:val="001E63D7"/>
    <w:rsid w:val="00204BFC"/>
    <w:rsid w:val="002132F8"/>
    <w:rsid w:val="00227EA5"/>
    <w:rsid w:val="002373F3"/>
    <w:rsid w:val="00240341"/>
    <w:rsid w:val="00254D71"/>
    <w:rsid w:val="00266F33"/>
    <w:rsid w:val="00271A5D"/>
    <w:rsid w:val="00294100"/>
    <w:rsid w:val="002C7F19"/>
    <w:rsid w:val="002D5CF3"/>
    <w:rsid w:val="002E5CD4"/>
    <w:rsid w:val="002F7BE3"/>
    <w:rsid w:val="00302E32"/>
    <w:rsid w:val="00303000"/>
    <w:rsid w:val="00303391"/>
    <w:rsid w:val="003039E3"/>
    <w:rsid w:val="003550B0"/>
    <w:rsid w:val="0036283E"/>
    <w:rsid w:val="00366833"/>
    <w:rsid w:val="003E4036"/>
    <w:rsid w:val="003E66B1"/>
    <w:rsid w:val="003F5639"/>
    <w:rsid w:val="00421A99"/>
    <w:rsid w:val="004A39BB"/>
    <w:rsid w:val="004A5408"/>
    <w:rsid w:val="004C03FA"/>
    <w:rsid w:val="004C6C4F"/>
    <w:rsid w:val="004D2C8B"/>
    <w:rsid w:val="004D7D68"/>
    <w:rsid w:val="004E3E6E"/>
    <w:rsid w:val="004E6C49"/>
    <w:rsid w:val="00512D3E"/>
    <w:rsid w:val="00536A90"/>
    <w:rsid w:val="0054269B"/>
    <w:rsid w:val="005726CE"/>
    <w:rsid w:val="00582F11"/>
    <w:rsid w:val="005C5ABC"/>
    <w:rsid w:val="005D2483"/>
    <w:rsid w:val="005D2BE3"/>
    <w:rsid w:val="005E7969"/>
    <w:rsid w:val="005F36CE"/>
    <w:rsid w:val="00643F38"/>
    <w:rsid w:val="0064438B"/>
    <w:rsid w:val="0065761F"/>
    <w:rsid w:val="00684AEB"/>
    <w:rsid w:val="006B7FA5"/>
    <w:rsid w:val="006C659E"/>
    <w:rsid w:val="006D03C2"/>
    <w:rsid w:val="006E74A0"/>
    <w:rsid w:val="006F61B1"/>
    <w:rsid w:val="0070650B"/>
    <w:rsid w:val="007473D7"/>
    <w:rsid w:val="0075233D"/>
    <w:rsid w:val="0075255E"/>
    <w:rsid w:val="00754F45"/>
    <w:rsid w:val="007610F1"/>
    <w:rsid w:val="00784766"/>
    <w:rsid w:val="00793513"/>
    <w:rsid w:val="007A782A"/>
    <w:rsid w:val="007E006A"/>
    <w:rsid w:val="007E1377"/>
    <w:rsid w:val="007F620F"/>
    <w:rsid w:val="008007DC"/>
    <w:rsid w:val="008133C3"/>
    <w:rsid w:val="00816DAC"/>
    <w:rsid w:val="008254FB"/>
    <w:rsid w:val="00852D51"/>
    <w:rsid w:val="00860255"/>
    <w:rsid w:val="00885DEA"/>
    <w:rsid w:val="008A44FA"/>
    <w:rsid w:val="008B6DEB"/>
    <w:rsid w:val="008C6911"/>
    <w:rsid w:val="00912116"/>
    <w:rsid w:val="009418DB"/>
    <w:rsid w:val="00970F43"/>
    <w:rsid w:val="009834A1"/>
    <w:rsid w:val="00997E23"/>
    <w:rsid w:val="009B1C75"/>
    <w:rsid w:val="009B38BD"/>
    <w:rsid w:val="009B702A"/>
    <w:rsid w:val="009C0B7F"/>
    <w:rsid w:val="009D3B18"/>
    <w:rsid w:val="00A01AFE"/>
    <w:rsid w:val="00A2646D"/>
    <w:rsid w:val="00A936C0"/>
    <w:rsid w:val="00A96A7B"/>
    <w:rsid w:val="00AA157A"/>
    <w:rsid w:val="00AA64D2"/>
    <w:rsid w:val="00AD0B3E"/>
    <w:rsid w:val="00AD2100"/>
    <w:rsid w:val="00AD5356"/>
    <w:rsid w:val="00AD5F33"/>
    <w:rsid w:val="00AE5A6F"/>
    <w:rsid w:val="00B17ACB"/>
    <w:rsid w:val="00B23780"/>
    <w:rsid w:val="00B31412"/>
    <w:rsid w:val="00B34549"/>
    <w:rsid w:val="00B35C4E"/>
    <w:rsid w:val="00B46D6F"/>
    <w:rsid w:val="00B63AD6"/>
    <w:rsid w:val="00B7140F"/>
    <w:rsid w:val="00B74ABC"/>
    <w:rsid w:val="00B808D1"/>
    <w:rsid w:val="00B90A99"/>
    <w:rsid w:val="00B947A1"/>
    <w:rsid w:val="00BC0FAE"/>
    <w:rsid w:val="00BC11BC"/>
    <w:rsid w:val="00BC23A4"/>
    <w:rsid w:val="00BE088C"/>
    <w:rsid w:val="00BE297C"/>
    <w:rsid w:val="00C30410"/>
    <w:rsid w:val="00C5199C"/>
    <w:rsid w:val="00C7056D"/>
    <w:rsid w:val="00C72A18"/>
    <w:rsid w:val="00CA734A"/>
    <w:rsid w:val="00CB0247"/>
    <w:rsid w:val="00CB1E54"/>
    <w:rsid w:val="00CB72BF"/>
    <w:rsid w:val="00D0189C"/>
    <w:rsid w:val="00D1370B"/>
    <w:rsid w:val="00D24EE8"/>
    <w:rsid w:val="00D4621E"/>
    <w:rsid w:val="00D54E9F"/>
    <w:rsid w:val="00D56E2A"/>
    <w:rsid w:val="00D623FB"/>
    <w:rsid w:val="00D64512"/>
    <w:rsid w:val="00D7259C"/>
    <w:rsid w:val="00D73DD5"/>
    <w:rsid w:val="00D7523D"/>
    <w:rsid w:val="00D80252"/>
    <w:rsid w:val="00D86C2C"/>
    <w:rsid w:val="00DA38FC"/>
    <w:rsid w:val="00DA768F"/>
    <w:rsid w:val="00DC06CE"/>
    <w:rsid w:val="00DD0EA9"/>
    <w:rsid w:val="00E26BE4"/>
    <w:rsid w:val="00E30D7B"/>
    <w:rsid w:val="00E64109"/>
    <w:rsid w:val="00E82855"/>
    <w:rsid w:val="00E831F8"/>
    <w:rsid w:val="00E84BFA"/>
    <w:rsid w:val="00EA287B"/>
    <w:rsid w:val="00EA6A7C"/>
    <w:rsid w:val="00EE7184"/>
    <w:rsid w:val="00EF2BF6"/>
    <w:rsid w:val="00F1171C"/>
    <w:rsid w:val="00F343CC"/>
    <w:rsid w:val="00F36E19"/>
    <w:rsid w:val="00F44E80"/>
    <w:rsid w:val="00F6483B"/>
    <w:rsid w:val="00F8794F"/>
    <w:rsid w:val="00FC7381"/>
    <w:rsid w:val="00FD4864"/>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EA287B"/>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ind w:left="720" w:hanging="72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9</TotalTime>
  <Pages>3</Pages>
  <Words>583</Words>
  <Characters>3565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Rachel Ward</cp:lastModifiedBy>
  <cp:revision>3</cp:revision>
  <dcterms:created xsi:type="dcterms:W3CDTF">2025-12-29T16:07:00Z</dcterms:created>
  <dcterms:modified xsi:type="dcterms:W3CDTF">2025-12-29T16:08:00Z</dcterms:modified>
</cp:coreProperties>
</file>